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07" w:rsidRDefault="00177207" w:rsidP="00D10C07">
      <w:pPr>
        <w:rPr>
          <w:rFonts w:cs="Arial"/>
          <w:b/>
          <w:color w:val="000000"/>
        </w:rPr>
      </w:pPr>
      <w:r w:rsidRPr="00177207">
        <w:rPr>
          <w:rFonts w:cs="Arial"/>
          <w:b/>
          <w:color w:val="000000"/>
        </w:rPr>
        <w:drawing>
          <wp:anchor distT="0" distB="0" distL="114300" distR="114300" simplePos="0" relativeHeight="251659264" behindDoc="1" locked="0" layoutInCell="1" allowOverlap="1">
            <wp:simplePos x="0" y="0"/>
            <wp:positionH relativeFrom="column">
              <wp:posOffset>19050</wp:posOffset>
            </wp:positionH>
            <wp:positionV relativeFrom="paragraph">
              <wp:posOffset>-58189</wp:posOffset>
            </wp:positionV>
            <wp:extent cx="2632710" cy="1454727"/>
            <wp:effectExtent l="19050" t="0" r="0" b="0"/>
            <wp:wrapTight wrapText="bothSides">
              <wp:wrapPolygon edited="0">
                <wp:start x="-156" y="0"/>
                <wp:lineTo x="-156" y="21223"/>
                <wp:lineTo x="21569" y="21223"/>
                <wp:lineTo x="21569" y="0"/>
                <wp:lineTo x="-156" y="0"/>
              </wp:wrapPolygon>
            </wp:wrapTight>
            <wp:docPr id="1" name="Picture 1" descr="https://encrypted-tbn1.gstatic.com/images?q=tbn:ANd9GcQdk91seLMaKhu7eSmT1twLMafwH8TxDmzbAzFxPxQ_A2BSLZdV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dk91seLMaKhu7eSmT1twLMafwH8TxDmzbAzFxPxQ_A2BSLZdVGw">
                      <a:hlinkClick r:id="rId4"/>
                    </pic:cNvPr>
                    <pic:cNvPicPr>
                      <a:picLocks noChangeAspect="1" noChangeArrowheads="1"/>
                    </pic:cNvPicPr>
                  </pic:nvPicPr>
                  <pic:blipFill>
                    <a:blip r:embed="rId5" cstate="print"/>
                    <a:srcRect/>
                    <a:stretch>
                      <a:fillRect/>
                    </a:stretch>
                  </pic:blipFill>
                  <pic:spPr bwMode="auto">
                    <a:xfrm>
                      <a:off x="0" y="0"/>
                      <a:ext cx="2632710" cy="1454150"/>
                    </a:xfrm>
                    <a:prstGeom prst="rect">
                      <a:avLst/>
                    </a:prstGeom>
                    <a:noFill/>
                    <a:ln w="9525">
                      <a:noFill/>
                      <a:miter lim="800000"/>
                      <a:headEnd/>
                      <a:tailEnd/>
                    </a:ln>
                  </pic:spPr>
                </pic:pic>
              </a:graphicData>
            </a:graphic>
          </wp:anchor>
        </w:drawing>
      </w:r>
    </w:p>
    <w:p w:rsidR="00177207" w:rsidRDefault="004D2EF3" w:rsidP="00D10C07">
      <w:pPr>
        <w:rPr>
          <w:rFonts w:cs="Arial"/>
          <w:b/>
          <w:color w:val="000000"/>
        </w:rPr>
      </w:pPr>
      <w:r w:rsidRPr="00217AE0">
        <w:rPr>
          <w:rFonts w:cs="Arial"/>
          <w:b/>
          <w:color w:val="000000"/>
        </w:rPr>
        <w:t xml:space="preserve"> </w:t>
      </w:r>
    </w:p>
    <w:p w:rsidR="00177207" w:rsidRDefault="00177207" w:rsidP="00D10C07">
      <w:pPr>
        <w:rPr>
          <w:rFonts w:cs="Arial"/>
          <w:b/>
          <w:color w:val="000000"/>
        </w:rPr>
      </w:pPr>
    </w:p>
    <w:p w:rsidR="00177207" w:rsidRDefault="00177207" w:rsidP="00D10C07">
      <w:pPr>
        <w:rPr>
          <w:rFonts w:cs="Arial"/>
          <w:b/>
          <w:color w:val="000000"/>
        </w:rPr>
      </w:pPr>
    </w:p>
    <w:p w:rsidR="00177207" w:rsidRDefault="00177207" w:rsidP="00D10C07">
      <w:pPr>
        <w:rPr>
          <w:rFonts w:cs="Arial"/>
          <w:b/>
          <w:color w:val="000000"/>
        </w:rPr>
      </w:pPr>
    </w:p>
    <w:p w:rsidR="00177207" w:rsidRPr="00177207" w:rsidRDefault="00177207" w:rsidP="00D10C07">
      <w:pPr>
        <w:rPr>
          <w:b/>
          <w:sz w:val="28"/>
          <w:szCs w:val="28"/>
        </w:rPr>
      </w:pPr>
      <w:r>
        <w:rPr>
          <w:rFonts w:ascii="Times New Roman" w:eastAsia="Times New Roman" w:hAnsi="Times New Roman" w:cs="Times New Roman"/>
          <w:b/>
          <w:bCs/>
          <w:sz w:val="30"/>
          <w:szCs w:val="30"/>
        </w:rPr>
        <w:t xml:space="preserve">Authored </w:t>
      </w:r>
      <w:r w:rsidRPr="00F011AC">
        <w:rPr>
          <w:rFonts w:ascii="Times New Roman" w:eastAsia="Times New Roman" w:hAnsi="Times New Roman" w:cs="Times New Roman"/>
          <w:b/>
          <w:bCs/>
          <w:sz w:val="30"/>
          <w:szCs w:val="30"/>
        </w:rPr>
        <w:t>by: Kipley Lytel</w:t>
      </w:r>
      <w:r>
        <w:rPr>
          <w:rFonts w:ascii="Times New Roman" w:eastAsia="Times New Roman" w:hAnsi="Times New Roman" w:cs="Times New Roman"/>
          <w:b/>
          <w:bCs/>
          <w:sz w:val="30"/>
          <w:szCs w:val="30"/>
        </w:rPr>
        <w:t>, CFA</w:t>
      </w:r>
    </w:p>
    <w:p w:rsidR="00D10C07" w:rsidRDefault="00FA39AB" w:rsidP="00D10C07">
      <w:pPr>
        <w:rPr>
          <w:rFonts w:cs="Arial"/>
          <w:b/>
          <w:color w:val="000000"/>
        </w:rPr>
      </w:pPr>
      <w:r w:rsidRPr="00217AE0">
        <w:rPr>
          <w:rFonts w:cs="Arial"/>
          <w:b/>
          <w:color w:val="000000"/>
        </w:rPr>
        <w:t>‘</w:t>
      </w:r>
      <w:r w:rsidR="00FD59FE" w:rsidRPr="00217AE0">
        <w:rPr>
          <w:rFonts w:cs="Arial"/>
          <w:b/>
          <w:color w:val="000000"/>
        </w:rPr>
        <w:t>Smartly</w:t>
      </w:r>
      <w:r w:rsidRPr="00217AE0">
        <w:rPr>
          <w:rFonts w:cs="Arial"/>
          <w:b/>
          <w:color w:val="000000"/>
        </w:rPr>
        <w:t>’</w:t>
      </w:r>
      <w:r w:rsidR="00FD59FE" w:rsidRPr="00217AE0">
        <w:rPr>
          <w:rFonts w:cs="Arial"/>
          <w:b/>
          <w:color w:val="000000"/>
        </w:rPr>
        <w:t xml:space="preserve"> </w:t>
      </w:r>
      <w:r w:rsidR="00CE06DD" w:rsidRPr="00217AE0">
        <w:rPr>
          <w:rFonts w:cs="Arial"/>
          <w:b/>
          <w:color w:val="000000"/>
        </w:rPr>
        <w:t>Diversify</w:t>
      </w:r>
      <w:r w:rsidR="00FE4B63" w:rsidRPr="00217AE0">
        <w:rPr>
          <w:rFonts w:cs="Arial"/>
          <w:b/>
          <w:color w:val="000000"/>
        </w:rPr>
        <w:t xml:space="preserve"> your Portfolio with</w:t>
      </w:r>
      <w:r w:rsidR="00CE06DD" w:rsidRPr="00217AE0">
        <w:rPr>
          <w:rFonts w:cs="Arial"/>
          <w:b/>
          <w:color w:val="000000"/>
        </w:rPr>
        <w:t xml:space="preserve"> </w:t>
      </w:r>
      <w:r w:rsidR="00FE4B63" w:rsidRPr="00217AE0">
        <w:rPr>
          <w:rFonts w:cs="Arial"/>
          <w:b/>
          <w:color w:val="000000"/>
        </w:rPr>
        <w:t>Different ETF</w:t>
      </w:r>
      <w:r w:rsidR="008C2AF7" w:rsidRPr="00217AE0">
        <w:rPr>
          <w:rFonts w:cs="Arial"/>
          <w:b/>
          <w:color w:val="000000"/>
        </w:rPr>
        <w:t xml:space="preserve"> </w:t>
      </w:r>
      <w:r w:rsidR="00555136" w:rsidRPr="00217AE0">
        <w:rPr>
          <w:rFonts w:cs="Arial"/>
          <w:b/>
          <w:color w:val="000000"/>
        </w:rPr>
        <w:t>Method</w:t>
      </w:r>
      <w:r w:rsidR="00FE4B63" w:rsidRPr="00217AE0">
        <w:rPr>
          <w:rFonts w:cs="Arial"/>
          <w:b/>
          <w:color w:val="000000"/>
        </w:rPr>
        <w:t>ologies</w:t>
      </w:r>
    </w:p>
    <w:p w:rsidR="00FA24D0" w:rsidRDefault="00F576BB" w:rsidP="00FA24D0">
      <w:pPr>
        <w:rPr>
          <w:rFonts w:cs="Arial"/>
          <w:color w:val="000000"/>
        </w:rPr>
      </w:pPr>
      <w:r w:rsidRPr="00571583">
        <w:rPr>
          <w:rFonts w:cs="Arial"/>
          <w:color w:val="000000"/>
        </w:rPr>
        <w:t>For an investor it is crucial</w:t>
      </w:r>
      <w:r w:rsidR="00213793" w:rsidRPr="00571583">
        <w:rPr>
          <w:rFonts w:cs="Arial"/>
          <w:color w:val="000000"/>
        </w:rPr>
        <w:t xml:space="preserve"> to be aware of the weighting </w:t>
      </w:r>
      <w:r w:rsidRPr="00571583">
        <w:rPr>
          <w:rFonts w:cs="Arial"/>
          <w:color w:val="000000"/>
        </w:rPr>
        <w:t>methodology</w:t>
      </w:r>
      <w:r w:rsidR="00213793" w:rsidRPr="00571583">
        <w:rPr>
          <w:rFonts w:cs="Arial"/>
          <w:color w:val="000000"/>
        </w:rPr>
        <w:t xml:space="preserve"> of constituent stocks</w:t>
      </w:r>
      <w:r w:rsidR="00612EFB" w:rsidRPr="00571583">
        <w:rPr>
          <w:rFonts w:cs="Arial"/>
          <w:color w:val="000000"/>
        </w:rPr>
        <w:t xml:space="preserve"> </w:t>
      </w:r>
      <w:r w:rsidR="00AE1FD3" w:rsidRPr="00571583">
        <w:rPr>
          <w:rFonts w:cs="Arial"/>
          <w:color w:val="000000"/>
        </w:rPr>
        <w:t>in</w:t>
      </w:r>
      <w:r w:rsidR="00612EFB" w:rsidRPr="00571583">
        <w:rPr>
          <w:rFonts w:cs="Arial"/>
          <w:color w:val="000000"/>
        </w:rPr>
        <w:t xml:space="preserve"> </w:t>
      </w:r>
      <w:r w:rsidR="0099413D" w:rsidRPr="00571583">
        <w:rPr>
          <w:rFonts w:cs="Arial"/>
          <w:color w:val="000000"/>
        </w:rPr>
        <w:t>exchange traded funds (</w:t>
      </w:r>
      <w:r w:rsidR="00612EFB" w:rsidRPr="00571583">
        <w:rPr>
          <w:rFonts w:cs="Arial"/>
          <w:color w:val="000000"/>
        </w:rPr>
        <w:t>ETF</w:t>
      </w:r>
      <w:r w:rsidR="0099413D" w:rsidRPr="00571583">
        <w:rPr>
          <w:rFonts w:cs="Arial"/>
          <w:color w:val="000000"/>
        </w:rPr>
        <w:t>s)</w:t>
      </w:r>
      <w:r w:rsidRPr="00571583">
        <w:rPr>
          <w:rFonts w:cs="Arial"/>
          <w:color w:val="000000"/>
        </w:rPr>
        <w:t xml:space="preserve">. </w:t>
      </w:r>
      <w:r w:rsidR="000E58FE" w:rsidRPr="00571583">
        <w:rPr>
          <w:rFonts w:cs="Arial"/>
          <w:color w:val="000000"/>
        </w:rPr>
        <w:t xml:space="preserve">All </w:t>
      </w:r>
      <w:r w:rsidR="0099413D" w:rsidRPr="00571583">
        <w:rPr>
          <w:rFonts w:cs="Arial"/>
          <w:color w:val="000000"/>
        </w:rPr>
        <w:t>ETFs</w:t>
      </w:r>
      <w:r w:rsidR="000E58FE" w:rsidRPr="00571583">
        <w:rPr>
          <w:rFonts w:cs="Arial"/>
          <w:color w:val="000000"/>
        </w:rPr>
        <w:t xml:space="preserve"> are not equal and</w:t>
      </w:r>
      <w:r w:rsidR="000E1B15" w:rsidRPr="00571583">
        <w:rPr>
          <w:rFonts w:cs="Arial"/>
          <w:color w:val="000000"/>
        </w:rPr>
        <w:t xml:space="preserve"> </w:t>
      </w:r>
      <w:r w:rsidR="007F69A1" w:rsidRPr="00571583">
        <w:rPr>
          <w:rFonts w:cs="Arial"/>
          <w:color w:val="000000"/>
        </w:rPr>
        <w:t xml:space="preserve">there is more than one way of gaining </w:t>
      </w:r>
      <w:r w:rsidR="004858D4" w:rsidRPr="00571583">
        <w:rPr>
          <w:rFonts w:cs="Arial"/>
          <w:color w:val="000000"/>
        </w:rPr>
        <w:t>low cost</w:t>
      </w:r>
      <w:r w:rsidR="00BE55A9" w:rsidRPr="00571583">
        <w:rPr>
          <w:rFonts w:cs="Arial"/>
          <w:color w:val="000000"/>
        </w:rPr>
        <w:t xml:space="preserve"> </w:t>
      </w:r>
      <w:r w:rsidR="00951754" w:rsidRPr="00571583">
        <w:rPr>
          <w:rFonts w:cs="Arial"/>
          <w:color w:val="000000"/>
        </w:rPr>
        <w:t xml:space="preserve">equity </w:t>
      </w:r>
      <w:r w:rsidR="00BE55A9" w:rsidRPr="00571583">
        <w:rPr>
          <w:rFonts w:cs="Arial"/>
          <w:color w:val="000000"/>
        </w:rPr>
        <w:t>diversity</w:t>
      </w:r>
      <w:r w:rsidR="007F69A1" w:rsidRPr="00571583">
        <w:rPr>
          <w:rFonts w:cs="Arial"/>
          <w:color w:val="000000"/>
        </w:rPr>
        <w:t>. T</w:t>
      </w:r>
      <w:r w:rsidR="000E1B15" w:rsidRPr="00571583">
        <w:rPr>
          <w:rFonts w:cs="Arial"/>
          <w:color w:val="000000"/>
        </w:rPr>
        <w:t>he most common</w:t>
      </w:r>
      <w:r w:rsidR="000E58FE" w:rsidRPr="00571583">
        <w:rPr>
          <w:rFonts w:cs="Arial"/>
          <w:color w:val="000000"/>
        </w:rPr>
        <w:t xml:space="preserve"> equity index funds</w:t>
      </w:r>
      <w:r w:rsidR="00597D69" w:rsidRPr="00571583">
        <w:rPr>
          <w:rFonts w:cs="Arial"/>
          <w:color w:val="000000"/>
        </w:rPr>
        <w:t xml:space="preserve"> </w:t>
      </w:r>
      <w:r w:rsidR="000E58FE" w:rsidRPr="00571583">
        <w:rPr>
          <w:rFonts w:cs="Arial"/>
          <w:color w:val="000000"/>
        </w:rPr>
        <w:t xml:space="preserve">typically weight holdings by </w:t>
      </w:r>
      <w:r w:rsidR="00597D69" w:rsidRPr="00571583">
        <w:rPr>
          <w:rFonts w:cs="Arial"/>
          <w:color w:val="000000"/>
        </w:rPr>
        <w:t xml:space="preserve">market capitalization - </w:t>
      </w:r>
      <w:r w:rsidR="000E58FE" w:rsidRPr="00571583">
        <w:rPr>
          <w:rFonts w:cs="Arial"/>
          <w:color w:val="000000"/>
        </w:rPr>
        <w:t>or the total value of a company’s shares outstanding.</w:t>
      </w:r>
      <w:r w:rsidR="009A1591" w:rsidRPr="00571583">
        <w:rPr>
          <w:rFonts w:cs="Arial"/>
          <w:color w:val="000000"/>
        </w:rPr>
        <w:t xml:space="preserve"> </w:t>
      </w:r>
      <w:r w:rsidR="00661D4E" w:rsidRPr="00571583">
        <w:rPr>
          <w:rFonts w:cs="Arial"/>
          <w:color w:val="000000"/>
        </w:rPr>
        <w:t>For instance, the S&amp;P 500</w:t>
      </w:r>
      <w:r w:rsidR="00F07BEE" w:rsidRPr="00571583">
        <w:rPr>
          <w:rFonts w:cs="Arial"/>
          <w:color w:val="000000"/>
        </w:rPr>
        <w:t xml:space="preserve"> (SPY)</w:t>
      </w:r>
      <w:r w:rsidR="00661D4E" w:rsidRPr="00571583">
        <w:rPr>
          <w:rFonts w:cs="Arial"/>
          <w:color w:val="000000"/>
        </w:rPr>
        <w:t xml:space="preserve"> is a market capitalization weighted index</w:t>
      </w:r>
      <w:r w:rsidR="00F51433" w:rsidRPr="00571583">
        <w:rPr>
          <w:rFonts w:cs="Arial"/>
          <w:color w:val="000000"/>
        </w:rPr>
        <w:t xml:space="preserve"> (or M</w:t>
      </w:r>
      <w:r w:rsidR="00597D69" w:rsidRPr="00571583">
        <w:rPr>
          <w:rFonts w:cs="Arial"/>
          <w:color w:val="000000"/>
        </w:rPr>
        <w:t>C</w:t>
      </w:r>
      <w:r w:rsidR="00F51433" w:rsidRPr="00571583">
        <w:rPr>
          <w:rFonts w:cs="Arial"/>
          <w:color w:val="000000"/>
        </w:rPr>
        <w:t>WI</w:t>
      </w:r>
      <w:r w:rsidR="00AE1FD3" w:rsidRPr="00571583">
        <w:rPr>
          <w:rFonts w:cs="Arial"/>
          <w:color w:val="000000"/>
        </w:rPr>
        <w:t>)</w:t>
      </w:r>
      <w:r w:rsidR="00D557C8" w:rsidRPr="00571583">
        <w:rPr>
          <w:rFonts w:cs="Arial"/>
          <w:color w:val="000000"/>
        </w:rPr>
        <w:t>.</w:t>
      </w:r>
      <w:r w:rsidR="00661D4E" w:rsidRPr="00571583">
        <w:rPr>
          <w:rFonts w:cs="Arial"/>
          <w:color w:val="000000"/>
        </w:rPr>
        <w:t xml:space="preserve"> The market capitalization of each stock is determined by taking the share price and multiplying it by the number of shares outstanding. </w:t>
      </w:r>
      <w:r w:rsidR="001D28B2" w:rsidRPr="00571583">
        <w:rPr>
          <w:rFonts w:cs="Arial"/>
          <w:color w:val="000000"/>
        </w:rPr>
        <w:t>Market-cap-weighted indexes tend to overweight expensive stocks and underweight cheaper</w:t>
      </w:r>
      <w:r w:rsidR="009069A1" w:rsidRPr="00571583">
        <w:rPr>
          <w:rFonts w:cs="Arial"/>
          <w:color w:val="000000"/>
        </w:rPr>
        <w:t xml:space="preserve"> stocks. </w:t>
      </w:r>
      <w:r w:rsidR="000A6B9F" w:rsidRPr="00571583">
        <w:rPr>
          <w:rFonts w:cs="Arial"/>
          <w:color w:val="000000"/>
        </w:rPr>
        <w:t>Some say this is just how things should go since the best performing stocks should be able to run their course and not encounter the higher tax friction and transaction costs</w:t>
      </w:r>
      <w:r w:rsidR="009202A5" w:rsidRPr="00571583">
        <w:rPr>
          <w:rFonts w:cs="Arial"/>
          <w:color w:val="000000"/>
        </w:rPr>
        <w:t xml:space="preserve"> of</w:t>
      </w:r>
      <w:r w:rsidR="000A6B9F" w:rsidRPr="00571583">
        <w:rPr>
          <w:rFonts w:cs="Arial"/>
          <w:color w:val="000000"/>
        </w:rPr>
        <w:t xml:space="preserve"> </w:t>
      </w:r>
      <w:r w:rsidR="009202A5" w:rsidRPr="00571583">
        <w:rPr>
          <w:rFonts w:cs="Arial"/>
          <w:color w:val="000000"/>
        </w:rPr>
        <w:t xml:space="preserve">unnecessary </w:t>
      </w:r>
      <w:r w:rsidR="000A6B9F" w:rsidRPr="00571583">
        <w:rPr>
          <w:rFonts w:cs="Arial"/>
          <w:color w:val="000000"/>
        </w:rPr>
        <w:t>turnover.</w:t>
      </w:r>
    </w:p>
    <w:p w:rsidR="00FA24D0" w:rsidRDefault="00C62974" w:rsidP="00FA24D0">
      <w:pPr>
        <w:rPr>
          <w:rFonts w:cs="Arial"/>
          <w:color w:val="000000"/>
        </w:rPr>
      </w:pPr>
      <w:r w:rsidRPr="00571583">
        <w:rPr>
          <w:rFonts w:cs="Arial"/>
          <w:color w:val="000000"/>
        </w:rPr>
        <w:t xml:space="preserve">In turn, </w:t>
      </w:r>
      <w:r w:rsidR="00597D69" w:rsidRPr="00571583">
        <w:rPr>
          <w:rFonts w:cs="Arial"/>
          <w:color w:val="000000"/>
        </w:rPr>
        <w:t>EWI</w:t>
      </w:r>
      <w:r w:rsidR="007703F9" w:rsidRPr="00571583">
        <w:rPr>
          <w:rFonts w:cs="Arial"/>
          <w:color w:val="000000"/>
        </w:rPr>
        <w:t xml:space="preserve"> treat all stocks the same with weighting allocation and underweight the large stocks </w:t>
      </w:r>
      <w:r w:rsidR="00AE000C" w:rsidRPr="00571583">
        <w:rPr>
          <w:rFonts w:cs="Arial"/>
          <w:color w:val="000000"/>
        </w:rPr>
        <w:t>b</w:t>
      </w:r>
      <w:r w:rsidR="00AE000C" w:rsidRPr="00FA24D0">
        <w:rPr>
          <w:rFonts w:cs="Arial"/>
          <w:color w:val="000000"/>
        </w:rPr>
        <w:t>y</w:t>
      </w:r>
      <w:r w:rsidR="00AE000C" w:rsidRPr="00571583">
        <w:rPr>
          <w:rFonts w:cs="Arial"/>
          <w:color w:val="000000"/>
        </w:rPr>
        <w:t xml:space="preserve"> </w:t>
      </w:r>
      <w:r w:rsidR="007703F9" w:rsidRPr="00571583">
        <w:rPr>
          <w:rFonts w:cs="Arial"/>
          <w:color w:val="000000"/>
        </w:rPr>
        <w:t>overweight</w:t>
      </w:r>
      <w:r w:rsidR="00AE000C" w:rsidRPr="00FA24D0">
        <w:rPr>
          <w:rFonts w:cs="Arial"/>
          <w:color w:val="000000"/>
        </w:rPr>
        <w:t>ing</w:t>
      </w:r>
      <w:r w:rsidR="007703F9" w:rsidRPr="00571583">
        <w:rPr>
          <w:rFonts w:cs="Arial"/>
          <w:color w:val="000000"/>
        </w:rPr>
        <w:t xml:space="preserve"> a large number of smaller stocks. </w:t>
      </w:r>
      <w:r w:rsidR="004D21D2" w:rsidRPr="00571583">
        <w:rPr>
          <w:rFonts w:cs="Arial"/>
          <w:color w:val="000000"/>
        </w:rPr>
        <w:t xml:space="preserve">The S&amp;P 500 </w:t>
      </w:r>
      <w:r w:rsidR="00577B17" w:rsidRPr="00FA24D0">
        <w:rPr>
          <w:rFonts w:cs="Arial"/>
          <w:color w:val="000000"/>
        </w:rPr>
        <w:t>EWI</w:t>
      </w:r>
      <w:r w:rsidR="00577B17" w:rsidRPr="00FA24D0" w:rsidDel="00577B17">
        <w:rPr>
          <w:rFonts w:cs="Arial"/>
          <w:color w:val="000000"/>
        </w:rPr>
        <w:t xml:space="preserve"> </w:t>
      </w:r>
      <w:r w:rsidR="004D21D2" w:rsidRPr="00571583">
        <w:rPr>
          <w:rFonts w:cs="Arial"/>
          <w:color w:val="000000"/>
        </w:rPr>
        <w:t>is rebalanced quarterly to coincide with the quarterly share adjustment of the S&amp;P 500</w:t>
      </w:r>
      <w:r w:rsidR="0038279B" w:rsidRPr="00571583">
        <w:rPr>
          <w:rFonts w:cs="Arial"/>
          <w:color w:val="000000"/>
        </w:rPr>
        <w:t xml:space="preserve">. </w:t>
      </w:r>
      <w:r w:rsidR="000A6B9F" w:rsidRPr="00FA24D0">
        <w:rPr>
          <w:rFonts w:cs="Arial"/>
          <w:color w:val="000000"/>
        </w:rPr>
        <w:t xml:space="preserve">For example, in the past 10 years the average annual turnover for the S&amp;P 500 equal weighted index (or EWI) has been about 25%, much higher than the S&amp;P 500’s MCWI turnover of 6%. </w:t>
      </w:r>
      <w:r w:rsidR="004D21D2" w:rsidRPr="00571583">
        <w:rPr>
          <w:rFonts w:cs="Arial"/>
          <w:color w:val="000000"/>
        </w:rPr>
        <w:t xml:space="preserve">EWI constituent weightings are not correlated with their expected returns, </w:t>
      </w:r>
      <w:r w:rsidR="009069A1" w:rsidRPr="00571583">
        <w:rPr>
          <w:rFonts w:cs="Arial"/>
          <w:color w:val="000000"/>
        </w:rPr>
        <w:t>tend</w:t>
      </w:r>
      <w:r w:rsidR="0038279B" w:rsidRPr="00571583">
        <w:rPr>
          <w:rFonts w:cs="Arial"/>
          <w:color w:val="000000"/>
        </w:rPr>
        <w:t xml:space="preserve"> to have</w:t>
      </w:r>
      <w:r w:rsidR="004D21D2" w:rsidRPr="00571583">
        <w:rPr>
          <w:rFonts w:cs="Arial"/>
          <w:color w:val="000000"/>
        </w:rPr>
        <w:t xml:space="preserve"> lower stock sector concentration, </w:t>
      </w:r>
      <w:r w:rsidR="00884F16" w:rsidRPr="00FA24D0">
        <w:rPr>
          <w:rFonts w:cs="Arial"/>
          <w:color w:val="000000"/>
        </w:rPr>
        <w:t>yet</w:t>
      </w:r>
      <w:r w:rsidR="0038279B" w:rsidRPr="00571583">
        <w:rPr>
          <w:rFonts w:cs="Arial"/>
          <w:color w:val="000000"/>
        </w:rPr>
        <w:t xml:space="preserve"> ha</w:t>
      </w:r>
      <w:r w:rsidR="003A4315" w:rsidRPr="00571583">
        <w:rPr>
          <w:rFonts w:cs="Arial"/>
          <w:color w:val="000000"/>
        </w:rPr>
        <w:t>ve</w:t>
      </w:r>
      <w:r w:rsidR="004D21D2" w:rsidRPr="00571583">
        <w:rPr>
          <w:rFonts w:cs="Arial"/>
          <w:color w:val="000000"/>
        </w:rPr>
        <w:t xml:space="preserve"> higher liquidity constraints since all stocks have </w:t>
      </w:r>
      <w:r w:rsidR="003A4315" w:rsidRPr="00571583">
        <w:rPr>
          <w:rFonts w:cs="Arial"/>
          <w:color w:val="000000"/>
        </w:rPr>
        <w:t xml:space="preserve">the </w:t>
      </w:r>
      <w:r w:rsidR="004D21D2" w:rsidRPr="00571583">
        <w:rPr>
          <w:rFonts w:cs="Arial"/>
          <w:color w:val="000000"/>
        </w:rPr>
        <w:t>same weighting regardless of market cap.</w:t>
      </w:r>
      <w:r w:rsidR="00F07BEE" w:rsidRPr="00571583">
        <w:rPr>
          <w:rFonts w:cs="Arial"/>
          <w:color w:val="000000"/>
        </w:rPr>
        <w:t xml:space="preserve"> </w:t>
      </w:r>
      <w:r w:rsidR="00AF2747" w:rsidRPr="00FA24D0">
        <w:rPr>
          <w:rFonts w:cs="Arial"/>
          <w:color w:val="000000"/>
        </w:rPr>
        <w:t>T</w:t>
      </w:r>
      <w:r w:rsidR="00AF2747" w:rsidRPr="00571583">
        <w:rPr>
          <w:rFonts w:cs="Arial"/>
          <w:color w:val="000000"/>
        </w:rPr>
        <w:t>he 10 largest stocks represented just about 16% of the S&amp;P 500 Index, whereas those sa</w:t>
      </w:r>
      <w:r w:rsidR="00AF2747" w:rsidRPr="00FA24D0">
        <w:rPr>
          <w:rFonts w:cs="Arial"/>
          <w:color w:val="000000"/>
        </w:rPr>
        <w:t>me 10 companies only represent</w:t>
      </w:r>
      <w:r w:rsidR="00AF2747" w:rsidRPr="00571583">
        <w:rPr>
          <w:rFonts w:cs="Arial"/>
          <w:color w:val="000000"/>
        </w:rPr>
        <w:t xml:space="preserve"> roughly 2% of the </w:t>
      </w:r>
      <w:r w:rsidR="00AF2747" w:rsidRPr="00FA24D0">
        <w:rPr>
          <w:rFonts w:cs="Arial"/>
          <w:color w:val="000000"/>
        </w:rPr>
        <w:t>EWI.</w:t>
      </w:r>
      <w:r w:rsidR="00F07BEE" w:rsidRPr="00571583">
        <w:rPr>
          <w:rFonts w:cs="Arial"/>
          <w:color w:val="000000"/>
        </w:rPr>
        <w:t xml:space="preserve"> A leading EWI is the Guggenheim S&amp;P 500 Equal Weight ETF (</w:t>
      </w:r>
      <w:hyperlink r:id="rId6" w:history="1">
        <w:r w:rsidR="00F07BEE" w:rsidRPr="00571583">
          <w:rPr>
            <w:rFonts w:cs="Arial"/>
            <w:color w:val="000000"/>
          </w:rPr>
          <w:t>RSP</w:t>
        </w:r>
      </w:hyperlink>
      <w:r w:rsidR="00F07BEE" w:rsidRPr="00571583">
        <w:rPr>
          <w:rFonts w:cs="Arial"/>
          <w:color w:val="000000"/>
        </w:rPr>
        <w:t>)</w:t>
      </w:r>
      <w:r w:rsidR="00F87182" w:rsidRPr="00571583">
        <w:rPr>
          <w:rFonts w:cs="Arial"/>
          <w:color w:val="000000"/>
        </w:rPr>
        <w:t>.</w:t>
      </w:r>
      <w:r w:rsidR="00AE1FD3" w:rsidRPr="00FA24D0">
        <w:rPr>
          <w:rFonts w:cs="Arial"/>
          <w:color w:val="000000"/>
        </w:rPr>
        <w:t xml:space="preserve"> </w:t>
      </w:r>
      <w:r w:rsidR="00CB7629" w:rsidRPr="00FA24D0">
        <w:rPr>
          <w:rFonts w:cs="Arial"/>
          <w:color w:val="000000"/>
        </w:rPr>
        <w:t>As of June 30, 2014, RSP’s average annual return for the decade was +10.1% vs. the S</w:t>
      </w:r>
      <w:r w:rsidR="00553594" w:rsidRPr="00FA24D0">
        <w:rPr>
          <w:rFonts w:cs="Arial"/>
          <w:color w:val="000000"/>
        </w:rPr>
        <w:t>PY</w:t>
      </w:r>
      <w:r w:rsidR="00CB7629" w:rsidRPr="00FA24D0">
        <w:rPr>
          <w:rFonts w:cs="Arial"/>
          <w:color w:val="000000"/>
        </w:rPr>
        <w:t xml:space="preserve"> of +</w:t>
      </w:r>
      <w:r w:rsidR="00835441" w:rsidRPr="00FA24D0">
        <w:rPr>
          <w:rFonts w:cs="Arial"/>
          <w:color w:val="000000"/>
        </w:rPr>
        <w:t>7.7</w:t>
      </w:r>
      <w:r w:rsidR="00CB7629" w:rsidRPr="00FA24D0">
        <w:rPr>
          <w:rFonts w:cs="Arial"/>
          <w:color w:val="000000"/>
        </w:rPr>
        <w:t>%.</w:t>
      </w:r>
    </w:p>
    <w:p w:rsidR="00FA24D0" w:rsidRDefault="00884F16" w:rsidP="00FA24D0">
      <w:pPr>
        <w:rPr>
          <w:rFonts w:cs="Arial"/>
          <w:color w:val="000000"/>
        </w:rPr>
      </w:pPr>
      <w:r w:rsidRPr="00FA24D0">
        <w:rPr>
          <w:rFonts w:cs="Arial"/>
          <w:color w:val="000000"/>
        </w:rPr>
        <w:t>There are</w:t>
      </w:r>
      <w:r w:rsidR="002C59A0" w:rsidRPr="00571583">
        <w:rPr>
          <w:rFonts w:cs="Arial"/>
          <w:color w:val="000000"/>
        </w:rPr>
        <w:t xml:space="preserve"> also different sector exp</w:t>
      </w:r>
      <w:r w:rsidR="00F51433" w:rsidRPr="00571583">
        <w:rPr>
          <w:rFonts w:cs="Arial"/>
          <w:color w:val="000000"/>
        </w:rPr>
        <w:t>osure between M</w:t>
      </w:r>
      <w:r w:rsidR="00597D69" w:rsidRPr="00571583">
        <w:rPr>
          <w:rFonts w:cs="Arial"/>
          <w:color w:val="000000"/>
        </w:rPr>
        <w:t>C</w:t>
      </w:r>
      <w:r w:rsidR="00F51433" w:rsidRPr="00571583">
        <w:rPr>
          <w:rFonts w:cs="Arial"/>
          <w:color w:val="000000"/>
        </w:rPr>
        <w:t>WI and EWI. EWI has broad diversification across market segments</w:t>
      </w:r>
      <w:r w:rsidR="009069A1" w:rsidRPr="00571583">
        <w:rPr>
          <w:rFonts w:cs="Arial"/>
          <w:color w:val="000000"/>
        </w:rPr>
        <w:t xml:space="preserve"> and this</w:t>
      </w:r>
      <w:r w:rsidR="00F51433" w:rsidRPr="00571583">
        <w:rPr>
          <w:rFonts w:cs="Arial"/>
          <w:color w:val="000000"/>
        </w:rPr>
        <w:t xml:space="preserve"> may help reduce concentration risk with more sector</w:t>
      </w:r>
      <w:r w:rsidR="006807D7" w:rsidRPr="00571583">
        <w:rPr>
          <w:rFonts w:cs="Arial"/>
          <w:color w:val="000000"/>
        </w:rPr>
        <w:t xml:space="preserve"> diversity</w:t>
      </w:r>
      <w:r w:rsidR="00F51433" w:rsidRPr="00571583">
        <w:rPr>
          <w:rFonts w:cs="Arial"/>
          <w:color w:val="000000"/>
        </w:rPr>
        <w:t>.</w:t>
      </w:r>
      <w:r w:rsidR="0038279B" w:rsidRPr="00571583">
        <w:rPr>
          <w:rFonts w:cs="Arial"/>
          <w:color w:val="000000"/>
        </w:rPr>
        <w:t xml:space="preserve"> </w:t>
      </w:r>
      <w:r w:rsidR="00A56821" w:rsidRPr="00FA24D0">
        <w:rPr>
          <w:rFonts w:cs="Arial"/>
          <w:color w:val="000000"/>
        </w:rPr>
        <w:t>That said,</w:t>
      </w:r>
      <w:r w:rsidR="009069A1" w:rsidRPr="00571583">
        <w:rPr>
          <w:rFonts w:cs="Arial"/>
          <w:color w:val="000000"/>
        </w:rPr>
        <w:t xml:space="preserve"> t</w:t>
      </w:r>
      <w:r w:rsidR="00181AA3" w:rsidRPr="00571583">
        <w:rPr>
          <w:rFonts w:cs="Arial"/>
          <w:color w:val="000000"/>
        </w:rPr>
        <w:t xml:space="preserve">he S&amp;P 500 </w:t>
      </w:r>
      <w:r w:rsidR="00577B17" w:rsidRPr="00571583">
        <w:rPr>
          <w:rFonts w:cs="Arial"/>
          <w:color w:val="000000"/>
        </w:rPr>
        <w:t>EWI</w:t>
      </w:r>
      <w:r w:rsidR="00577B17" w:rsidRPr="00FA24D0">
        <w:rPr>
          <w:rFonts w:cs="Arial"/>
          <w:color w:val="000000"/>
        </w:rPr>
        <w:t xml:space="preserve"> </w:t>
      </w:r>
      <w:r w:rsidR="00181AA3" w:rsidRPr="00571583">
        <w:rPr>
          <w:rFonts w:cs="Arial"/>
          <w:color w:val="000000"/>
        </w:rPr>
        <w:t>has been consistently overweight materials, consumer discretionary and utilities, and underweight energy, health care and telecommunication s</w:t>
      </w:r>
      <w:r w:rsidR="001655F8" w:rsidRPr="00571583">
        <w:rPr>
          <w:rFonts w:cs="Arial"/>
          <w:color w:val="000000"/>
        </w:rPr>
        <w:t>ervices relative to the S&amp;P 500</w:t>
      </w:r>
      <w:r w:rsidR="00577B17" w:rsidRPr="00FA24D0">
        <w:rPr>
          <w:rFonts w:cs="Arial"/>
          <w:color w:val="000000"/>
        </w:rPr>
        <w:t xml:space="preserve"> </w:t>
      </w:r>
      <w:r w:rsidR="00577B17" w:rsidRPr="00571583">
        <w:rPr>
          <w:rFonts w:cs="Arial"/>
          <w:color w:val="000000"/>
        </w:rPr>
        <w:t>MCWI</w:t>
      </w:r>
      <w:r w:rsidR="001655F8" w:rsidRPr="00571583">
        <w:rPr>
          <w:rFonts w:cs="Arial"/>
          <w:color w:val="000000"/>
        </w:rPr>
        <w:t>.</w:t>
      </w:r>
    </w:p>
    <w:p w:rsidR="00FA24D0" w:rsidRDefault="001655F8" w:rsidP="00FA24D0">
      <w:pPr>
        <w:rPr>
          <w:rFonts w:cs="Arial"/>
          <w:color w:val="000000"/>
        </w:rPr>
      </w:pPr>
      <w:r w:rsidRPr="00571583">
        <w:t xml:space="preserve">It should be no surprise that the performance can differ over time. EWI is considered to have a small cap bias and will outperform market cap weighted ETFs when the smaller stocks in an index outperform </w:t>
      </w:r>
      <w:r w:rsidR="00C56367" w:rsidRPr="00571583">
        <w:t xml:space="preserve">its </w:t>
      </w:r>
      <w:r w:rsidRPr="00571583">
        <w:t>larger stock</w:t>
      </w:r>
      <w:r w:rsidR="00C56367" w:rsidRPr="00571583">
        <w:t xml:space="preserve"> counterparts</w:t>
      </w:r>
      <w:r w:rsidRPr="00571583">
        <w:t xml:space="preserve">. </w:t>
      </w:r>
      <w:r w:rsidR="00D07019" w:rsidRPr="00571583">
        <w:t xml:space="preserve">The S&amp;P 500 </w:t>
      </w:r>
      <w:r w:rsidR="00577B17" w:rsidRPr="00571583">
        <w:t>EWI</w:t>
      </w:r>
      <w:r w:rsidR="00D07019" w:rsidRPr="00571583">
        <w:t xml:space="preserve"> </w:t>
      </w:r>
      <w:r w:rsidR="00FA642C" w:rsidRPr="00571583">
        <w:t xml:space="preserve">performed strongly </w:t>
      </w:r>
      <w:r w:rsidR="00D07019" w:rsidRPr="00571583">
        <w:t xml:space="preserve">in 2009, gaining </w:t>
      </w:r>
      <w:r w:rsidR="00577B17" w:rsidRPr="00571583">
        <w:t>+</w:t>
      </w:r>
      <w:r w:rsidR="00D07019" w:rsidRPr="00571583">
        <w:t xml:space="preserve">45% versus a </w:t>
      </w:r>
      <w:r w:rsidR="00577B17" w:rsidRPr="00571583">
        <w:t>+</w:t>
      </w:r>
      <w:r w:rsidR="00D07019" w:rsidRPr="00571583">
        <w:t xml:space="preserve">26% advance for </w:t>
      </w:r>
      <w:r w:rsidR="00FA642C" w:rsidRPr="00571583">
        <w:t>the MCWI</w:t>
      </w:r>
      <w:r w:rsidR="00D07019" w:rsidRPr="00571583">
        <w:t>.</w:t>
      </w:r>
      <w:r w:rsidRPr="00571583">
        <w:t xml:space="preserve"> </w:t>
      </w:r>
      <w:r w:rsidR="003B7718" w:rsidRPr="00571583">
        <w:t xml:space="preserve">In fact, according to S&amp;P Dow Jones Indices, in the past 20 years ended 2012, the S&amp;P 500 EWI had outperformed the S&amp;P 500 </w:t>
      </w:r>
      <w:r w:rsidR="00577B17" w:rsidRPr="00571583">
        <w:t xml:space="preserve">MCWI </w:t>
      </w:r>
      <w:r w:rsidR="003B7718" w:rsidRPr="00571583">
        <w:t xml:space="preserve">by a compounded average of </w:t>
      </w:r>
      <w:r w:rsidR="00B02008" w:rsidRPr="00571583">
        <w:t>+</w:t>
      </w:r>
      <w:r w:rsidR="003B7718" w:rsidRPr="00571583">
        <w:t xml:space="preserve">2.0% annually. </w:t>
      </w:r>
      <w:r w:rsidR="00577B17" w:rsidRPr="00571583">
        <w:t xml:space="preserve">Yet, </w:t>
      </w:r>
      <w:r w:rsidR="00577B17" w:rsidRPr="00571583">
        <w:rPr>
          <w:rFonts w:cs="Arial"/>
          <w:color w:val="000000"/>
        </w:rPr>
        <w:lastRenderedPageBreak/>
        <w:t xml:space="preserve">risk as measured by volatility or standard deviation tends to be higher on the S&amp;P 500 </w:t>
      </w:r>
      <w:r w:rsidR="00BB4EF6" w:rsidRPr="00571583">
        <w:rPr>
          <w:rFonts w:cs="Arial"/>
          <w:color w:val="000000"/>
        </w:rPr>
        <w:t xml:space="preserve">EWI </w:t>
      </w:r>
      <w:r w:rsidR="00577B17" w:rsidRPr="00571583">
        <w:rPr>
          <w:rFonts w:cs="Arial"/>
          <w:color w:val="000000"/>
        </w:rPr>
        <w:t>versus the S&amp;P 500</w:t>
      </w:r>
      <w:r w:rsidR="00BB4EF6" w:rsidRPr="00571583">
        <w:t xml:space="preserve"> </w:t>
      </w:r>
      <w:r w:rsidR="00BB4EF6" w:rsidRPr="00571583">
        <w:rPr>
          <w:rFonts w:cs="Arial"/>
          <w:color w:val="000000"/>
        </w:rPr>
        <w:t>MCWI</w:t>
      </w:r>
      <w:r w:rsidR="00577B17" w:rsidRPr="00571583">
        <w:rPr>
          <w:rFonts w:cs="Arial"/>
          <w:color w:val="000000"/>
        </w:rPr>
        <w:t xml:space="preserve">.  </w:t>
      </w:r>
    </w:p>
    <w:p w:rsidR="00FA24D0" w:rsidRDefault="004F585F" w:rsidP="00FA24D0">
      <w:pPr>
        <w:rPr>
          <w:rFonts w:cs="Arial"/>
          <w:color w:val="000000"/>
        </w:rPr>
      </w:pPr>
      <w:r w:rsidRPr="00571583">
        <w:rPr>
          <w:rFonts w:cs="Arial"/>
          <w:color w:val="000000"/>
        </w:rPr>
        <w:t xml:space="preserve">However, </w:t>
      </w:r>
      <w:r w:rsidR="00AB0544" w:rsidRPr="00571583">
        <w:rPr>
          <w:rFonts w:cs="Arial"/>
          <w:color w:val="000000"/>
        </w:rPr>
        <w:t>holding both</w:t>
      </w:r>
      <w:r w:rsidRPr="00571583">
        <w:rPr>
          <w:rFonts w:cs="Arial"/>
          <w:color w:val="000000"/>
        </w:rPr>
        <w:t xml:space="preserve"> EWI and MCWI can smooth the</w:t>
      </w:r>
      <w:r w:rsidR="00150250" w:rsidRPr="00571583">
        <w:t xml:space="preserve"> investor’s</w:t>
      </w:r>
      <w:r w:rsidRPr="00571583">
        <w:rPr>
          <w:rFonts w:cs="Arial"/>
          <w:color w:val="000000"/>
        </w:rPr>
        <w:t xml:space="preserve"> ride.  For example, in a period that covers the tech bubble 2000-2006</w:t>
      </w:r>
      <w:r w:rsidR="00263A86" w:rsidRPr="00571583">
        <w:rPr>
          <w:rFonts w:cs="Arial"/>
          <w:color w:val="000000"/>
        </w:rPr>
        <w:t>,</w:t>
      </w:r>
      <w:r w:rsidRPr="00571583">
        <w:rPr>
          <w:rFonts w:cs="Arial"/>
          <w:color w:val="000000"/>
        </w:rPr>
        <w:t xml:space="preserve"> the S&amp;P 500 </w:t>
      </w:r>
      <w:r w:rsidR="00577B17" w:rsidRPr="00571583">
        <w:rPr>
          <w:rFonts w:cs="Arial"/>
          <w:color w:val="000000"/>
        </w:rPr>
        <w:t xml:space="preserve">MCWI </w:t>
      </w:r>
      <w:r w:rsidRPr="00571583">
        <w:rPr>
          <w:rFonts w:cs="Arial"/>
          <w:color w:val="000000"/>
        </w:rPr>
        <w:t xml:space="preserve">annualized return was only +1%, whereas EWI was +9.1%.  </w:t>
      </w:r>
      <w:r w:rsidR="00577B17" w:rsidRPr="00571583">
        <w:rPr>
          <w:rFonts w:cs="Arial"/>
          <w:color w:val="000000"/>
        </w:rPr>
        <w:t xml:space="preserve">Again, this can be partly explained by the fact EWI </w:t>
      </w:r>
      <w:r w:rsidR="00F07BEE" w:rsidRPr="00571583">
        <w:rPr>
          <w:rFonts w:cs="Arial"/>
          <w:color w:val="000000"/>
        </w:rPr>
        <w:t>rebalance</w:t>
      </w:r>
      <w:r w:rsidR="00577B17" w:rsidRPr="00571583">
        <w:rPr>
          <w:rFonts w:cs="Arial"/>
          <w:color w:val="000000"/>
        </w:rPr>
        <w:t>s</w:t>
      </w:r>
      <w:r w:rsidR="00F07BEE" w:rsidRPr="00571583">
        <w:rPr>
          <w:rFonts w:cs="Arial"/>
          <w:color w:val="000000"/>
        </w:rPr>
        <w:t xml:space="preserve"> all positions quarterly, selling winners and buying laggards and this tilts the EWI portfolio slightly toward value stocks. </w:t>
      </w:r>
      <w:r w:rsidR="006D69BD" w:rsidRPr="00571583">
        <w:t>And t</w:t>
      </w:r>
      <w:r w:rsidR="00577B17" w:rsidRPr="00571583">
        <w:rPr>
          <w:rFonts w:cs="Arial"/>
          <w:color w:val="000000"/>
        </w:rPr>
        <w:t xml:space="preserve">his period </w:t>
      </w:r>
      <w:r w:rsidR="006D69BD" w:rsidRPr="00571583">
        <w:t>covered</w:t>
      </w:r>
      <w:r w:rsidR="00577B17" w:rsidRPr="00571583">
        <w:rPr>
          <w:rFonts w:cs="Arial"/>
          <w:color w:val="000000"/>
        </w:rPr>
        <w:t xml:space="preserve"> the tech bubble, when MCWI was severely overweight in market capitalization by technology stocks. </w:t>
      </w:r>
      <w:r w:rsidR="00150250" w:rsidRPr="00571583">
        <w:t>However, i</w:t>
      </w:r>
      <w:r w:rsidR="00150250" w:rsidRPr="00571583">
        <w:rPr>
          <w:rFonts w:cs="Arial"/>
          <w:color w:val="000000"/>
        </w:rPr>
        <w:t xml:space="preserve">n an earlier period of 1995-1999, S&amp;P 500 annualized return was 29% versus the EWI of 21%.  </w:t>
      </w:r>
    </w:p>
    <w:p w:rsidR="00FA24D0" w:rsidRDefault="00F07BEE" w:rsidP="00FA24D0">
      <w:pPr>
        <w:rPr>
          <w:rFonts w:cs="Arial"/>
          <w:color w:val="000000"/>
        </w:rPr>
      </w:pPr>
      <w:r w:rsidRPr="00571583">
        <w:rPr>
          <w:rFonts w:cs="Arial"/>
          <w:color w:val="000000"/>
        </w:rPr>
        <w:t>Many subscribe</w:t>
      </w:r>
      <w:r w:rsidR="00577B17" w:rsidRPr="00571583">
        <w:rPr>
          <w:rFonts w:cs="Arial"/>
          <w:color w:val="000000"/>
        </w:rPr>
        <w:t xml:space="preserve"> to the view that there are</w:t>
      </w:r>
      <w:r w:rsidR="00BA777B" w:rsidRPr="00571583">
        <w:t xml:space="preserve"> </w:t>
      </w:r>
      <w:r w:rsidRPr="00571583">
        <w:rPr>
          <w:rFonts w:cs="Arial"/>
          <w:color w:val="000000"/>
        </w:rPr>
        <w:t>cycle</w:t>
      </w:r>
      <w:r w:rsidR="00263A86" w:rsidRPr="00571583">
        <w:rPr>
          <w:rFonts w:cs="Arial"/>
          <w:color w:val="000000"/>
        </w:rPr>
        <w:t>s</w:t>
      </w:r>
      <w:r w:rsidR="00BA777B" w:rsidRPr="00571583">
        <w:t xml:space="preserve"> </w:t>
      </w:r>
      <w:r w:rsidRPr="00571583">
        <w:rPr>
          <w:rFonts w:cs="Arial"/>
          <w:color w:val="000000"/>
        </w:rPr>
        <w:t xml:space="preserve">of outperformance between </w:t>
      </w:r>
      <w:r w:rsidR="0048786A" w:rsidRPr="00571583">
        <w:t xml:space="preserve">small cap </w:t>
      </w:r>
      <w:r w:rsidRPr="00571583">
        <w:rPr>
          <w:rFonts w:cs="Arial"/>
          <w:color w:val="000000"/>
        </w:rPr>
        <w:t xml:space="preserve">value and </w:t>
      </w:r>
      <w:r w:rsidR="0048786A" w:rsidRPr="00571583">
        <w:t xml:space="preserve">large cap </w:t>
      </w:r>
      <w:r w:rsidRPr="00571583">
        <w:rPr>
          <w:rFonts w:cs="Arial"/>
          <w:color w:val="000000"/>
        </w:rPr>
        <w:t>growth</w:t>
      </w:r>
      <w:r w:rsidR="00263A86" w:rsidRPr="00571583">
        <w:rPr>
          <w:rFonts w:cs="Arial"/>
          <w:color w:val="000000"/>
        </w:rPr>
        <w:t xml:space="preserve"> </w:t>
      </w:r>
      <w:r w:rsidR="006D69BD" w:rsidRPr="00571583">
        <w:t xml:space="preserve">style </w:t>
      </w:r>
      <w:r w:rsidR="00263A86" w:rsidRPr="00571583">
        <w:rPr>
          <w:rFonts w:cs="Arial"/>
          <w:color w:val="000000"/>
        </w:rPr>
        <w:t>stocks</w:t>
      </w:r>
      <w:r w:rsidRPr="00571583">
        <w:rPr>
          <w:rFonts w:cs="Arial"/>
          <w:color w:val="000000"/>
        </w:rPr>
        <w:t>.</w:t>
      </w:r>
      <w:r w:rsidR="00577B17" w:rsidRPr="00571583">
        <w:rPr>
          <w:rFonts w:cs="Arial"/>
          <w:color w:val="000000"/>
        </w:rPr>
        <w:t xml:space="preserve"> Accordingly, an investor can consider MCWI for growth times and EWI for biasness toward value expectations; however, using a </w:t>
      </w:r>
      <w:r w:rsidR="0048786A" w:rsidRPr="00571583">
        <w:t xml:space="preserve">large </w:t>
      </w:r>
      <w:r w:rsidR="00577B17" w:rsidRPr="00571583">
        <w:rPr>
          <w:rFonts w:cs="Arial"/>
          <w:color w:val="000000"/>
        </w:rPr>
        <w:t>growth ETF</w:t>
      </w:r>
      <w:r w:rsidR="00AC7373" w:rsidRPr="00571583">
        <w:t xml:space="preserve"> (</w:t>
      </w:r>
      <w:r w:rsidR="00AC7373" w:rsidRPr="00571583">
        <w:rPr>
          <w:rFonts w:cs="Arial"/>
        </w:rPr>
        <w:t>RPG</w:t>
      </w:r>
      <w:r w:rsidR="00AC7373" w:rsidRPr="00571583">
        <w:t>)</w:t>
      </w:r>
      <w:r w:rsidR="00577B17" w:rsidRPr="00571583">
        <w:rPr>
          <w:rFonts w:cs="Arial"/>
          <w:color w:val="000000"/>
        </w:rPr>
        <w:t xml:space="preserve"> or </w:t>
      </w:r>
      <w:r w:rsidR="0048786A" w:rsidRPr="00571583">
        <w:t xml:space="preserve">small cap </w:t>
      </w:r>
      <w:r w:rsidR="00577B17" w:rsidRPr="00571583">
        <w:rPr>
          <w:rFonts w:cs="Arial"/>
          <w:color w:val="000000"/>
        </w:rPr>
        <w:t xml:space="preserve">value ETF </w:t>
      </w:r>
      <w:r w:rsidR="00AC7373" w:rsidRPr="00571583">
        <w:t xml:space="preserve">(VBR) </w:t>
      </w:r>
      <w:r w:rsidR="00577B17" w:rsidRPr="00571583">
        <w:rPr>
          <w:rFonts w:cs="Arial"/>
          <w:color w:val="000000"/>
        </w:rPr>
        <w:t>would serve that purpose better</w:t>
      </w:r>
      <w:r w:rsidR="00AC7373" w:rsidRPr="00571583">
        <w:t xml:space="preserve"> - </w:t>
      </w:r>
      <w:r w:rsidR="00263A86" w:rsidRPr="00571583">
        <w:rPr>
          <w:rFonts w:cs="Arial"/>
          <w:color w:val="000000"/>
        </w:rPr>
        <w:t>but this</w:t>
      </w:r>
      <w:r w:rsidR="00AC7373" w:rsidRPr="00571583">
        <w:t xml:space="preserve"> would also have less overall diversity</w:t>
      </w:r>
      <w:r w:rsidR="00577B17" w:rsidRPr="00571583">
        <w:rPr>
          <w:rFonts w:cs="Arial"/>
          <w:color w:val="000000"/>
        </w:rPr>
        <w:t>.</w:t>
      </w:r>
      <w:r w:rsidRPr="00571583">
        <w:rPr>
          <w:rFonts w:cs="Arial"/>
          <w:color w:val="000000"/>
        </w:rPr>
        <w:t xml:space="preserve"> </w:t>
      </w:r>
    </w:p>
    <w:p w:rsidR="00FA24D0" w:rsidRDefault="00263A86" w:rsidP="00FA24D0">
      <w:pPr>
        <w:rPr>
          <w:rFonts w:cs="Arial"/>
          <w:color w:val="000000"/>
        </w:rPr>
      </w:pPr>
      <w:r w:rsidRPr="00571583">
        <w:rPr>
          <w:rFonts w:cs="Arial"/>
          <w:color w:val="000000"/>
        </w:rPr>
        <w:t xml:space="preserve">Risk as measured by volatility or standard deviation tends to be higher on the S&amp;P 500 EWI versus the S&amp;P 500 MCWI.  </w:t>
      </w:r>
      <w:r w:rsidR="003B7718" w:rsidRPr="00571583">
        <w:rPr>
          <w:rFonts w:cs="Arial"/>
          <w:color w:val="000000"/>
        </w:rPr>
        <w:t xml:space="preserve">For the five years ending December 2007, the annualized standard deviation was 10.97% for the S&amp;P </w:t>
      </w:r>
      <w:r w:rsidRPr="00571583">
        <w:rPr>
          <w:rFonts w:cs="Arial"/>
          <w:color w:val="000000"/>
        </w:rPr>
        <w:t xml:space="preserve">EWI </w:t>
      </w:r>
      <w:r w:rsidR="003B7718" w:rsidRPr="00571583">
        <w:rPr>
          <w:rFonts w:cs="Arial"/>
          <w:color w:val="000000"/>
        </w:rPr>
        <w:t>vs. 8.61% for the</w:t>
      </w:r>
      <w:r w:rsidR="00AB0544" w:rsidRPr="00571583">
        <w:rPr>
          <w:rFonts w:cs="Arial"/>
          <w:color w:val="000000"/>
        </w:rPr>
        <w:t xml:space="preserve"> </w:t>
      </w:r>
      <w:r w:rsidR="003B7718" w:rsidRPr="00571583">
        <w:rPr>
          <w:rFonts w:cs="Arial"/>
          <w:color w:val="000000"/>
        </w:rPr>
        <w:t>S&amp;P 500</w:t>
      </w:r>
      <w:r w:rsidRPr="00571583">
        <w:rPr>
          <w:rFonts w:cs="Arial"/>
          <w:color w:val="000000"/>
        </w:rPr>
        <w:t xml:space="preserve"> MCWI</w:t>
      </w:r>
      <w:r w:rsidR="003B7718" w:rsidRPr="00571583">
        <w:rPr>
          <w:rFonts w:cs="Arial"/>
          <w:color w:val="000000"/>
        </w:rPr>
        <w:t>.</w:t>
      </w:r>
    </w:p>
    <w:p w:rsidR="00FA24D0" w:rsidRDefault="00F07BEE" w:rsidP="00FA24D0">
      <w:pPr>
        <w:rPr>
          <w:rFonts w:cs="Arial"/>
          <w:color w:val="000000"/>
        </w:rPr>
      </w:pPr>
      <w:r w:rsidRPr="00571583">
        <w:rPr>
          <w:rFonts w:cs="Arial"/>
          <w:color w:val="000000"/>
        </w:rPr>
        <w:t>But do EWI a</w:t>
      </w:r>
      <w:r w:rsidR="00863B76" w:rsidRPr="00FA24D0">
        <w:rPr>
          <w:rFonts w:cs="Arial"/>
          <w:color w:val="000000"/>
        </w:rPr>
        <w:t xml:space="preserve">nd MCWI cover the gamut for ETF </w:t>
      </w:r>
      <w:r w:rsidRPr="00571583">
        <w:rPr>
          <w:rFonts w:cs="Arial"/>
          <w:color w:val="000000"/>
        </w:rPr>
        <w:t>diversity?  I</w:t>
      </w:r>
      <w:r w:rsidR="00AB0544" w:rsidRPr="00571583">
        <w:rPr>
          <w:rFonts w:cs="Arial"/>
          <w:color w:val="000000"/>
        </w:rPr>
        <w:t>ndeed, i</w:t>
      </w:r>
      <w:r w:rsidRPr="00571583">
        <w:rPr>
          <w:rFonts w:cs="Arial"/>
          <w:color w:val="000000"/>
        </w:rPr>
        <w:t>t has</w:t>
      </w:r>
      <w:r w:rsidR="00AB0544" w:rsidRPr="00571583">
        <w:rPr>
          <w:rFonts w:cs="Arial"/>
          <w:color w:val="000000"/>
        </w:rPr>
        <w:t xml:space="preserve"> already</w:t>
      </w:r>
      <w:r w:rsidRPr="00571583">
        <w:rPr>
          <w:rFonts w:cs="Arial"/>
          <w:color w:val="000000"/>
        </w:rPr>
        <w:t xml:space="preserve"> been highlighted that they both have their own merits and limitations.</w:t>
      </w:r>
      <w:r w:rsidR="00FE4B63" w:rsidRPr="00571583">
        <w:rPr>
          <w:rFonts w:cs="Arial"/>
          <w:color w:val="000000"/>
        </w:rPr>
        <w:t xml:space="preserve"> Modern Portfolio Theory suggests that diversifying a portfolio with different return, risk and correlation characteristics may in fact reduce the overall portfolio risk.</w:t>
      </w:r>
      <w:r w:rsidRPr="00571583">
        <w:rPr>
          <w:rFonts w:cs="Arial"/>
          <w:color w:val="000000"/>
        </w:rPr>
        <w:t xml:space="preserve"> </w:t>
      </w:r>
      <w:r w:rsidR="00AB0544" w:rsidRPr="00571583">
        <w:rPr>
          <w:rFonts w:cs="Arial"/>
          <w:color w:val="000000"/>
        </w:rPr>
        <w:t>This is where</w:t>
      </w:r>
      <w:r w:rsidR="005F45D9" w:rsidRPr="00571583">
        <w:rPr>
          <w:rFonts w:cs="Arial"/>
          <w:color w:val="000000"/>
        </w:rPr>
        <w:t xml:space="preserve"> domestic </w:t>
      </w:r>
      <w:r w:rsidR="004A1799" w:rsidRPr="00571583">
        <w:rPr>
          <w:rFonts w:cs="Arial"/>
          <w:color w:val="000000"/>
        </w:rPr>
        <w:t>s</w:t>
      </w:r>
      <w:r w:rsidR="00263A86" w:rsidRPr="00571583">
        <w:rPr>
          <w:rFonts w:cs="Arial"/>
          <w:color w:val="000000"/>
        </w:rPr>
        <w:t xml:space="preserve">mart </w:t>
      </w:r>
      <w:r w:rsidR="004A1799" w:rsidRPr="00571583">
        <w:rPr>
          <w:rFonts w:cs="Arial"/>
          <w:color w:val="000000"/>
        </w:rPr>
        <w:t>b</w:t>
      </w:r>
      <w:r w:rsidR="00263A86" w:rsidRPr="00571583">
        <w:rPr>
          <w:rFonts w:cs="Arial"/>
          <w:color w:val="000000"/>
        </w:rPr>
        <w:t xml:space="preserve">eta </w:t>
      </w:r>
      <w:r w:rsidR="005F45D9" w:rsidRPr="00571583">
        <w:rPr>
          <w:rFonts w:cs="Arial"/>
          <w:color w:val="000000"/>
        </w:rPr>
        <w:t xml:space="preserve">ETFs </w:t>
      </w:r>
      <w:r w:rsidR="00AB0544" w:rsidRPr="00571583">
        <w:rPr>
          <w:rFonts w:cs="Arial"/>
          <w:color w:val="000000"/>
        </w:rPr>
        <w:t xml:space="preserve">come into play </w:t>
      </w:r>
      <w:r w:rsidR="005F45D9" w:rsidRPr="00571583">
        <w:rPr>
          <w:rFonts w:cs="Arial"/>
          <w:color w:val="000000"/>
        </w:rPr>
        <w:t xml:space="preserve">with </w:t>
      </w:r>
      <w:r w:rsidR="00DA5003" w:rsidRPr="00FA24D0">
        <w:rPr>
          <w:rFonts w:cs="Arial"/>
          <w:color w:val="000000"/>
        </w:rPr>
        <w:t xml:space="preserve">reportedly </w:t>
      </w:r>
      <w:r w:rsidR="00263A86" w:rsidRPr="00571583">
        <w:rPr>
          <w:rFonts w:cs="Arial"/>
          <w:color w:val="000000"/>
        </w:rPr>
        <w:t xml:space="preserve">superior </w:t>
      </w:r>
      <w:r w:rsidR="005F45D9" w:rsidRPr="00571583">
        <w:rPr>
          <w:rFonts w:cs="Arial"/>
          <w:color w:val="000000"/>
        </w:rPr>
        <w:t xml:space="preserve">long-term performance: PowerShares FTSE RAFI U.S. 1000 (PRF) </w:t>
      </w:r>
      <w:r w:rsidR="00725FF1" w:rsidRPr="00571583">
        <w:rPr>
          <w:rFonts w:cs="Arial"/>
          <w:color w:val="000000"/>
        </w:rPr>
        <w:t>for</w:t>
      </w:r>
      <w:r w:rsidR="005F45D9" w:rsidRPr="00571583">
        <w:rPr>
          <w:rFonts w:cs="Arial"/>
          <w:color w:val="000000"/>
        </w:rPr>
        <w:t xml:space="preserve"> large-cap, WisdomTree MidCap Earnings (EZM) for mid-cap, and RevenueShares Small Cap (RWJ) and WisdomTree SmallCap Dividend (DES) in small-cap.  For example, </w:t>
      </w:r>
      <w:r w:rsidR="001D28B2" w:rsidRPr="00571583">
        <w:rPr>
          <w:rFonts w:cs="Arial"/>
          <w:color w:val="000000"/>
        </w:rPr>
        <w:t>PowerShares FTSE RAF</w:t>
      </w:r>
      <w:r w:rsidRPr="00571583">
        <w:rPr>
          <w:rFonts w:cs="Arial"/>
          <w:color w:val="000000"/>
        </w:rPr>
        <w:t xml:space="preserve">I US 1000 (PRF) seeks to address </w:t>
      </w:r>
      <w:r w:rsidR="005F45D9" w:rsidRPr="00571583">
        <w:rPr>
          <w:rFonts w:cs="Arial"/>
          <w:color w:val="000000"/>
        </w:rPr>
        <w:t xml:space="preserve">some of the </w:t>
      </w:r>
      <w:r w:rsidR="001D28B2" w:rsidRPr="00571583">
        <w:rPr>
          <w:rFonts w:cs="Arial"/>
          <w:color w:val="000000"/>
        </w:rPr>
        <w:t>problem</w:t>
      </w:r>
      <w:r w:rsidR="005F45D9" w:rsidRPr="00571583">
        <w:rPr>
          <w:rFonts w:cs="Arial"/>
          <w:color w:val="000000"/>
        </w:rPr>
        <w:t>s address</w:t>
      </w:r>
      <w:r w:rsidR="001D28B2" w:rsidRPr="00571583">
        <w:rPr>
          <w:rFonts w:cs="Arial"/>
          <w:color w:val="000000"/>
        </w:rPr>
        <w:t xml:space="preserve"> while retaining the benefits of a traditional index fund. It weights its holdings according to fundamental measures of size, including book value, cash flow, sales, and dividends, rather than m</w:t>
      </w:r>
      <w:r w:rsidR="005F45D9" w:rsidRPr="00571583">
        <w:rPr>
          <w:rFonts w:cs="Arial"/>
          <w:color w:val="000000"/>
        </w:rPr>
        <w:t>arket cap.</w:t>
      </w:r>
      <w:r w:rsidR="00F87182" w:rsidRPr="00571583">
        <w:rPr>
          <w:rFonts w:cs="Arial"/>
          <w:color w:val="000000"/>
        </w:rPr>
        <w:t xml:space="preserve">  </w:t>
      </w:r>
      <w:r w:rsidR="0093563E" w:rsidRPr="00571583">
        <w:rPr>
          <w:rFonts w:cs="Arial"/>
          <w:color w:val="000000"/>
        </w:rPr>
        <w:t xml:space="preserve">Research has shown that these smart beta ETFs outperformed their categories overall for the past five years. </w:t>
      </w:r>
      <w:r w:rsidR="00F87182" w:rsidRPr="00571583">
        <w:rPr>
          <w:rFonts w:cs="Arial"/>
          <w:color w:val="000000"/>
        </w:rPr>
        <w:t>However,</w:t>
      </w:r>
      <w:r w:rsidR="0093563E" w:rsidRPr="00571583">
        <w:rPr>
          <w:rFonts w:cs="Arial"/>
          <w:color w:val="000000"/>
        </w:rPr>
        <w:t xml:space="preserve"> these</w:t>
      </w:r>
      <w:r w:rsidR="00F87182" w:rsidRPr="00571583">
        <w:rPr>
          <w:rFonts w:cs="Arial"/>
          <w:color w:val="000000"/>
        </w:rPr>
        <w:t xml:space="preserve"> smart beta ETFs </w:t>
      </w:r>
      <w:r w:rsidR="0093563E" w:rsidRPr="00571583">
        <w:rPr>
          <w:rFonts w:cs="Arial"/>
          <w:color w:val="000000"/>
        </w:rPr>
        <w:t xml:space="preserve">also </w:t>
      </w:r>
      <w:r w:rsidR="00F87182" w:rsidRPr="00571583">
        <w:rPr>
          <w:rFonts w:cs="Arial"/>
          <w:color w:val="000000"/>
        </w:rPr>
        <w:t>tend to cost more and this can drag on portfolio returns.</w:t>
      </w:r>
    </w:p>
    <w:p w:rsidR="00FA24D0" w:rsidRDefault="006C25D5" w:rsidP="00FA24D0">
      <w:pPr>
        <w:rPr>
          <w:rFonts w:cs="Arial"/>
          <w:color w:val="000000"/>
        </w:rPr>
      </w:pPr>
      <w:r w:rsidRPr="00571583">
        <w:rPr>
          <w:rFonts w:cs="Arial"/>
          <w:color w:val="000000"/>
        </w:rPr>
        <w:t xml:space="preserve">Smart beta is a methodology combining some active scheme with a passive managed fund. </w:t>
      </w:r>
      <w:r w:rsidR="0093563E" w:rsidRPr="00571583">
        <w:rPr>
          <w:rFonts w:cs="Arial"/>
          <w:color w:val="000000"/>
        </w:rPr>
        <w:t>There are approximately 60 smart beta ETFs now</w:t>
      </w:r>
      <w:r w:rsidR="00AB0544" w:rsidRPr="00571583">
        <w:rPr>
          <w:rFonts w:cs="Arial"/>
          <w:color w:val="000000"/>
        </w:rPr>
        <w:t xml:space="preserve"> with </w:t>
      </w:r>
      <w:r w:rsidR="0093563E" w:rsidRPr="00571583">
        <w:rPr>
          <w:rFonts w:cs="Arial"/>
          <w:color w:val="000000"/>
        </w:rPr>
        <w:t xml:space="preserve">about half of them launched </w:t>
      </w:r>
      <w:r w:rsidR="00AB0544" w:rsidRPr="00571583">
        <w:rPr>
          <w:rFonts w:cs="Arial"/>
          <w:color w:val="000000"/>
        </w:rPr>
        <w:t>as recent as 2011. Smart beta is still an emerging player and i</w:t>
      </w:r>
      <w:r w:rsidR="005A12CB" w:rsidRPr="00571583">
        <w:rPr>
          <w:rFonts w:cs="Arial"/>
          <w:color w:val="000000"/>
        </w:rPr>
        <w:t>n the first quarter of 2014 represented</w:t>
      </w:r>
      <w:r w:rsidR="00F576BB" w:rsidRPr="00571583">
        <w:rPr>
          <w:rFonts w:cs="Arial"/>
          <w:color w:val="000000"/>
        </w:rPr>
        <w:t xml:space="preserve"> </w:t>
      </w:r>
      <w:r w:rsidR="004A1799" w:rsidRPr="00571583">
        <w:rPr>
          <w:rFonts w:cs="Arial"/>
          <w:color w:val="000000"/>
        </w:rPr>
        <w:t xml:space="preserve">only about $14.5 billion worth of assets compared to </w:t>
      </w:r>
      <w:r w:rsidR="00F576BB" w:rsidRPr="00571583">
        <w:rPr>
          <w:rFonts w:cs="Arial"/>
          <w:color w:val="000000"/>
        </w:rPr>
        <w:t>approximately $</w:t>
      </w:r>
      <w:r w:rsidR="005A12CB" w:rsidRPr="00571583">
        <w:rPr>
          <w:rFonts w:cs="Arial"/>
          <w:color w:val="000000"/>
        </w:rPr>
        <w:t xml:space="preserve">1.75 trillion worth of </w:t>
      </w:r>
      <w:r w:rsidR="004A1799" w:rsidRPr="00571583">
        <w:rPr>
          <w:rFonts w:cs="Arial"/>
          <w:color w:val="000000"/>
        </w:rPr>
        <w:t xml:space="preserve">pure passive ETF </w:t>
      </w:r>
      <w:r w:rsidR="005A12CB" w:rsidRPr="00571583">
        <w:rPr>
          <w:rFonts w:cs="Arial"/>
          <w:color w:val="000000"/>
        </w:rPr>
        <w:t>assets</w:t>
      </w:r>
      <w:r w:rsidR="004A1799" w:rsidRPr="00571583">
        <w:rPr>
          <w:rFonts w:cs="Arial"/>
          <w:color w:val="000000"/>
        </w:rPr>
        <w:t>.</w:t>
      </w:r>
      <w:r w:rsidR="00311B51" w:rsidRPr="00571583">
        <w:rPr>
          <w:rFonts w:cs="Arial"/>
          <w:color w:val="000000"/>
        </w:rPr>
        <w:t xml:space="preserve"> </w:t>
      </w:r>
      <w:r w:rsidR="002A79EA" w:rsidRPr="00571583">
        <w:rPr>
          <w:rFonts w:cs="Arial"/>
          <w:color w:val="000000"/>
        </w:rPr>
        <w:t>When an investor</w:t>
      </w:r>
      <w:r w:rsidR="00C46F64" w:rsidRPr="00571583">
        <w:rPr>
          <w:rFonts w:cs="Arial"/>
          <w:color w:val="000000"/>
        </w:rPr>
        <w:t xml:space="preserve"> </w:t>
      </w:r>
      <w:r w:rsidR="002A79EA" w:rsidRPr="00571583">
        <w:rPr>
          <w:rFonts w:cs="Arial"/>
          <w:color w:val="000000"/>
        </w:rPr>
        <w:t xml:space="preserve">adds </w:t>
      </w:r>
      <w:r w:rsidR="00C46F64" w:rsidRPr="00571583">
        <w:rPr>
          <w:rFonts w:cs="Arial"/>
          <w:color w:val="000000"/>
        </w:rPr>
        <w:t>these different ETF methodologies</w:t>
      </w:r>
      <w:r w:rsidR="00CA276A" w:rsidRPr="00571583">
        <w:rPr>
          <w:rFonts w:cs="Arial"/>
          <w:color w:val="000000"/>
        </w:rPr>
        <w:t xml:space="preserve"> into a portfolio, </w:t>
      </w:r>
      <w:r w:rsidR="00C46F64" w:rsidRPr="00571583">
        <w:rPr>
          <w:rFonts w:cs="Arial"/>
          <w:color w:val="000000"/>
        </w:rPr>
        <w:t xml:space="preserve">it should be no surprise the results would be different than the traditional MCWI S&amp;P 500 (SPY). </w:t>
      </w:r>
      <w:r w:rsidR="00725FF1" w:rsidRPr="00571583">
        <w:rPr>
          <w:rFonts w:cs="Arial"/>
          <w:color w:val="000000"/>
        </w:rPr>
        <w:t xml:space="preserve">If </w:t>
      </w:r>
      <w:r w:rsidR="00C46F64" w:rsidRPr="00571583">
        <w:rPr>
          <w:rFonts w:cs="Arial"/>
          <w:color w:val="000000"/>
        </w:rPr>
        <w:t>one</w:t>
      </w:r>
      <w:r w:rsidR="00725FF1" w:rsidRPr="00571583">
        <w:rPr>
          <w:rFonts w:cs="Arial"/>
          <w:color w:val="000000"/>
        </w:rPr>
        <w:t xml:space="preserve"> run</w:t>
      </w:r>
      <w:r w:rsidR="00C46F64" w:rsidRPr="00571583">
        <w:rPr>
          <w:rFonts w:cs="Arial"/>
          <w:color w:val="000000"/>
        </w:rPr>
        <w:t>s</w:t>
      </w:r>
      <w:r w:rsidR="00725FF1" w:rsidRPr="00571583">
        <w:rPr>
          <w:rFonts w:cs="Arial"/>
          <w:color w:val="000000"/>
        </w:rPr>
        <w:t xml:space="preserve"> </w:t>
      </w:r>
      <w:r w:rsidR="00C46F64" w:rsidRPr="00571583">
        <w:rPr>
          <w:rFonts w:cs="Arial"/>
          <w:color w:val="000000"/>
        </w:rPr>
        <w:t xml:space="preserve">the </w:t>
      </w:r>
      <w:r w:rsidR="00725FF1" w:rsidRPr="00571583">
        <w:rPr>
          <w:rFonts w:cs="Arial"/>
          <w:color w:val="000000"/>
        </w:rPr>
        <w:t xml:space="preserve">performance </w:t>
      </w:r>
      <w:r w:rsidR="00C46F64" w:rsidRPr="00571583">
        <w:rPr>
          <w:rFonts w:cs="Arial"/>
          <w:color w:val="000000"/>
        </w:rPr>
        <w:t xml:space="preserve">of </w:t>
      </w:r>
      <w:r w:rsidR="00725FF1" w:rsidRPr="00571583">
        <w:rPr>
          <w:rFonts w:cs="Arial"/>
          <w:color w:val="000000"/>
        </w:rPr>
        <w:t>an equal allocation (</w:t>
      </w:r>
      <w:r w:rsidR="00573B82" w:rsidRPr="00571583">
        <w:rPr>
          <w:rFonts w:cs="Arial"/>
          <w:color w:val="000000"/>
        </w:rPr>
        <w:t xml:space="preserve">of </w:t>
      </w:r>
      <w:r w:rsidR="00725FF1" w:rsidRPr="00571583">
        <w:rPr>
          <w:rFonts w:cs="Arial"/>
          <w:color w:val="000000"/>
        </w:rPr>
        <w:t>1/3) to SPY, RSP and PRF</w:t>
      </w:r>
      <w:r w:rsidR="00C46F64" w:rsidRPr="00571583">
        <w:rPr>
          <w:rFonts w:cs="Arial"/>
          <w:color w:val="000000"/>
        </w:rPr>
        <w:t xml:space="preserve"> for the period </w:t>
      </w:r>
      <w:r w:rsidR="0048418F" w:rsidRPr="00571583">
        <w:t>of 9/25</w:t>
      </w:r>
      <w:r w:rsidR="00C46F64" w:rsidRPr="00571583">
        <w:rPr>
          <w:rFonts w:cs="Arial"/>
          <w:color w:val="000000"/>
        </w:rPr>
        <w:t>/08-9/25/14</w:t>
      </w:r>
      <w:r w:rsidR="00725FF1" w:rsidRPr="00571583">
        <w:rPr>
          <w:rFonts w:cs="Arial"/>
          <w:color w:val="000000"/>
        </w:rPr>
        <w:t xml:space="preserve">, </w:t>
      </w:r>
      <w:r w:rsidR="00C46F64" w:rsidRPr="00571583">
        <w:rPr>
          <w:rFonts w:cs="Arial"/>
          <w:color w:val="000000"/>
        </w:rPr>
        <w:t xml:space="preserve">then </w:t>
      </w:r>
      <w:r w:rsidR="00725FF1" w:rsidRPr="00571583">
        <w:rPr>
          <w:rFonts w:cs="Arial"/>
          <w:color w:val="000000"/>
        </w:rPr>
        <w:t xml:space="preserve">this </w:t>
      </w:r>
      <w:r w:rsidR="008B6DBD" w:rsidRPr="00571583">
        <w:rPr>
          <w:rFonts w:cs="Arial"/>
          <w:color w:val="000000"/>
        </w:rPr>
        <w:t xml:space="preserve">three ETF </w:t>
      </w:r>
      <w:r w:rsidR="0048418F" w:rsidRPr="00571583">
        <w:t>portfolio had</w:t>
      </w:r>
      <w:r w:rsidR="00725FF1" w:rsidRPr="00571583">
        <w:rPr>
          <w:rFonts w:cs="Arial"/>
          <w:color w:val="000000"/>
        </w:rPr>
        <w:t xml:space="preserve"> </w:t>
      </w:r>
      <w:r w:rsidR="0048418F" w:rsidRPr="00571583">
        <w:t xml:space="preserve">a </w:t>
      </w:r>
      <w:r w:rsidR="00725FF1" w:rsidRPr="00571583">
        <w:rPr>
          <w:rFonts w:cs="Arial"/>
          <w:color w:val="000000"/>
        </w:rPr>
        <w:t>compounded annual growth r</w:t>
      </w:r>
      <w:r w:rsidR="00D8249F" w:rsidRPr="00571583">
        <w:rPr>
          <w:rFonts w:cs="Arial"/>
          <w:color w:val="000000"/>
        </w:rPr>
        <w:t>ate</w:t>
      </w:r>
      <w:r w:rsidR="00725FF1" w:rsidRPr="00571583">
        <w:rPr>
          <w:rFonts w:cs="Arial"/>
          <w:color w:val="000000"/>
        </w:rPr>
        <w:t xml:space="preserve"> or CAGR would be +12</w:t>
      </w:r>
      <w:r w:rsidR="008B6DBD" w:rsidRPr="00571583">
        <w:rPr>
          <w:rFonts w:cs="Arial"/>
          <w:color w:val="000000"/>
        </w:rPr>
        <w:t xml:space="preserve">.3%, whereas just having </w:t>
      </w:r>
      <w:r w:rsidR="00576521" w:rsidRPr="00571583">
        <w:rPr>
          <w:rFonts w:cs="Arial"/>
          <w:color w:val="000000"/>
        </w:rPr>
        <w:t>SPY would be +10.8%</w:t>
      </w:r>
      <w:r w:rsidR="008B6DBD" w:rsidRPr="00571583">
        <w:rPr>
          <w:rFonts w:cs="Arial"/>
          <w:color w:val="000000"/>
        </w:rPr>
        <w:t xml:space="preserve">; the volatility of the two portfolios would be largely similar.  </w:t>
      </w:r>
    </w:p>
    <w:p w:rsidR="00FA24D0" w:rsidRDefault="007F5877" w:rsidP="00FA24D0">
      <w:pPr>
        <w:rPr>
          <w:rFonts w:cs="Arial"/>
          <w:color w:val="000000"/>
        </w:rPr>
      </w:pPr>
      <w:r w:rsidRPr="00571583">
        <w:rPr>
          <w:rFonts w:cs="Arial"/>
          <w:color w:val="000000"/>
        </w:rPr>
        <w:t>Similarly, if you ran a more diverse five ETF portfolio</w:t>
      </w:r>
      <w:r w:rsidR="00672D7D" w:rsidRPr="00571583">
        <w:rPr>
          <w:rFonts w:cs="Arial"/>
          <w:color w:val="000000"/>
        </w:rPr>
        <w:t xml:space="preserve"> (</w:t>
      </w:r>
      <w:r w:rsidR="00573B82" w:rsidRPr="00571583">
        <w:rPr>
          <w:rFonts w:cs="Arial"/>
          <w:color w:val="000000"/>
        </w:rPr>
        <w:t xml:space="preserve">or </w:t>
      </w:r>
      <w:r w:rsidR="00672D7D" w:rsidRPr="00571583">
        <w:rPr>
          <w:rFonts w:cs="Arial"/>
          <w:color w:val="000000"/>
        </w:rPr>
        <w:t xml:space="preserve">1/5) </w:t>
      </w:r>
      <w:r w:rsidR="00573B82" w:rsidRPr="00571583">
        <w:rPr>
          <w:rFonts w:cs="Arial"/>
          <w:color w:val="000000"/>
        </w:rPr>
        <w:t>to</w:t>
      </w:r>
      <w:r w:rsidR="00672D7D" w:rsidRPr="00571583">
        <w:rPr>
          <w:rFonts w:cs="Arial"/>
          <w:color w:val="000000"/>
        </w:rPr>
        <w:t xml:space="preserve"> SPY, RSP, PRF, RWJ and EZM</w:t>
      </w:r>
      <w:r w:rsidR="0048418F" w:rsidRPr="00571583">
        <w:t xml:space="preserve"> for the same six year period</w:t>
      </w:r>
      <w:r w:rsidR="00672D7D" w:rsidRPr="00571583">
        <w:rPr>
          <w:rFonts w:cs="Arial"/>
          <w:color w:val="000000"/>
        </w:rPr>
        <w:t xml:space="preserve">, then this portfolio’s CAGR would </w:t>
      </w:r>
      <w:r w:rsidRPr="00571583">
        <w:rPr>
          <w:rFonts w:cs="Arial"/>
          <w:color w:val="000000"/>
        </w:rPr>
        <w:t xml:space="preserve">have </w:t>
      </w:r>
      <w:r w:rsidR="00672D7D" w:rsidRPr="00571583">
        <w:rPr>
          <w:rFonts w:cs="Arial"/>
          <w:color w:val="000000"/>
        </w:rPr>
        <w:t>be</w:t>
      </w:r>
      <w:r w:rsidRPr="00571583">
        <w:rPr>
          <w:rFonts w:cs="Arial"/>
          <w:color w:val="000000"/>
        </w:rPr>
        <w:t>en</w:t>
      </w:r>
      <w:r w:rsidR="00672D7D" w:rsidRPr="00571583">
        <w:rPr>
          <w:rFonts w:cs="Arial"/>
          <w:color w:val="000000"/>
        </w:rPr>
        <w:t xml:space="preserve"> </w:t>
      </w:r>
      <w:r w:rsidR="003F77F7" w:rsidRPr="00571583">
        <w:rPr>
          <w:rFonts w:cs="Arial"/>
          <w:color w:val="000000"/>
        </w:rPr>
        <w:t>+</w:t>
      </w:r>
      <w:r w:rsidR="00672D7D" w:rsidRPr="00571583">
        <w:rPr>
          <w:rFonts w:cs="Arial"/>
          <w:color w:val="000000"/>
        </w:rPr>
        <w:t>13</w:t>
      </w:r>
      <w:r w:rsidR="003F77F7" w:rsidRPr="00571583">
        <w:rPr>
          <w:rFonts w:cs="Arial"/>
          <w:color w:val="000000"/>
        </w:rPr>
        <w:t>.0</w:t>
      </w:r>
      <w:r w:rsidR="00672D7D" w:rsidRPr="00571583">
        <w:rPr>
          <w:rFonts w:cs="Arial"/>
          <w:color w:val="000000"/>
        </w:rPr>
        <w:t>%</w:t>
      </w:r>
      <w:r w:rsidR="003F77F7" w:rsidRPr="00571583">
        <w:rPr>
          <w:rFonts w:cs="Arial"/>
          <w:color w:val="000000"/>
        </w:rPr>
        <w:t xml:space="preserve"> versus +10.8% for just SPY. </w:t>
      </w:r>
      <w:r w:rsidR="003F77F7" w:rsidRPr="00571583">
        <w:rPr>
          <w:rFonts w:cs="Arial"/>
          <w:color w:val="000000"/>
        </w:rPr>
        <w:lastRenderedPageBreak/>
        <w:t>And in certain years, there would be sharp difference, such as in 2009 SPY returned +26.4% whereas this portfolio of five ETFs returned +41.7%.</w:t>
      </w:r>
    </w:p>
    <w:p w:rsidR="00425181" w:rsidRPr="00D10C07" w:rsidRDefault="003F77F7" w:rsidP="00FA24D0">
      <w:pPr>
        <w:rPr>
          <w:rFonts w:cs="Arial"/>
          <w:color w:val="000000"/>
        </w:rPr>
      </w:pPr>
      <w:r w:rsidRPr="00571583">
        <w:rPr>
          <w:rFonts w:cs="Arial"/>
          <w:color w:val="000000"/>
        </w:rPr>
        <w:t>The takeaway is that investors s</w:t>
      </w:r>
      <w:r w:rsidR="00A1442F" w:rsidRPr="00571583">
        <w:t>hould consider these different</w:t>
      </w:r>
      <w:r w:rsidRPr="00571583">
        <w:rPr>
          <w:rFonts w:cs="Arial"/>
          <w:color w:val="000000"/>
        </w:rPr>
        <w:t xml:space="preserve"> ETF methodologies to replicate exposure to broad indexes and at least be cognizant that an investor can diversify the exposure to the S&amp;P 500 by choosing various alternative</w:t>
      </w:r>
      <w:r w:rsidR="003A7373" w:rsidRPr="00571583">
        <w:rPr>
          <w:rFonts w:cs="Arial"/>
          <w:color w:val="000000"/>
        </w:rPr>
        <w:t xml:space="preserve"> ETF</w:t>
      </w:r>
      <w:r w:rsidRPr="00571583">
        <w:rPr>
          <w:rFonts w:cs="Arial"/>
          <w:color w:val="000000"/>
        </w:rPr>
        <w:t xml:space="preserve"> schemes.  Further, investors should consider other ETFs than just large cap </w:t>
      </w:r>
      <w:r w:rsidR="003A7373" w:rsidRPr="00571583">
        <w:rPr>
          <w:rFonts w:cs="Arial"/>
          <w:color w:val="000000"/>
        </w:rPr>
        <w:t xml:space="preserve">weighted </w:t>
      </w:r>
      <w:r w:rsidRPr="00571583">
        <w:rPr>
          <w:rFonts w:cs="Arial"/>
          <w:color w:val="000000"/>
        </w:rPr>
        <w:t>to add greater diversity and offer potential for highe</w:t>
      </w:r>
      <w:r w:rsidR="00A1442F" w:rsidRPr="00571583">
        <w:t>r risk-adjusted returns.</w:t>
      </w:r>
      <w:r w:rsidRPr="00571583">
        <w:rPr>
          <w:rFonts w:cs="Arial"/>
          <w:color w:val="000000"/>
        </w:rPr>
        <w:t xml:space="preserve"> Smart beta is here to stay and there are a sundry of studies of how these can outperform vanilla ETFs. There are very few absolutes in the world of investing and there are times </w:t>
      </w:r>
      <w:r w:rsidR="00E05083" w:rsidRPr="00571583">
        <w:rPr>
          <w:rFonts w:cs="Arial"/>
          <w:color w:val="000000"/>
        </w:rPr>
        <w:t xml:space="preserve">of outperformance for </w:t>
      </w:r>
      <w:r w:rsidRPr="00571583">
        <w:rPr>
          <w:rFonts w:cs="Arial"/>
          <w:color w:val="000000"/>
        </w:rPr>
        <w:t>large caps,</w:t>
      </w:r>
      <w:r w:rsidR="00615709" w:rsidRPr="00571583">
        <w:rPr>
          <w:rFonts w:cs="Arial"/>
          <w:color w:val="000000"/>
        </w:rPr>
        <w:t xml:space="preserve"> small cap,</w:t>
      </w:r>
      <w:r w:rsidRPr="00571583">
        <w:rPr>
          <w:rFonts w:cs="Arial"/>
          <w:color w:val="000000"/>
        </w:rPr>
        <w:t xml:space="preserve"> value</w:t>
      </w:r>
      <w:r w:rsidR="00E05083" w:rsidRPr="00571583">
        <w:rPr>
          <w:rFonts w:cs="Arial"/>
          <w:color w:val="000000"/>
        </w:rPr>
        <w:t xml:space="preserve"> and </w:t>
      </w:r>
      <w:r w:rsidRPr="00571583">
        <w:rPr>
          <w:rFonts w:cs="Arial"/>
          <w:color w:val="000000"/>
        </w:rPr>
        <w:t xml:space="preserve">growth – yet, if you are trying to </w:t>
      </w:r>
      <w:r w:rsidR="002A6CF4" w:rsidRPr="00571583">
        <w:t>apply</w:t>
      </w:r>
      <w:r w:rsidRPr="00571583">
        <w:rPr>
          <w:rFonts w:cs="Arial"/>
          <w:color w:val="000000"/>
        </w:rPr>
        <w:t xml:space="preserve"> ETFs as a low cost and efficient method to index your </w:t>
      </w:r>
      <w:r w:rsidR="00573B82" w:rsidRPr="00571583">
        <w:rPr>
          <w:rFonts w:cs="Arial"/>
          <w:color w:val="000000"/>
        </w:rPr>
        <w:t xml:space="preserve">portfolio </w:t>
      </w:r>
      <w:r w:rsidRPr="00571583">
        <w:rPr>
          <w:rFonts w:cs="Arial"/>
          <w:color w:val="000000"/>
        </w:rPr>
        <w:t>returns</w:t>
      </w:r>
      <w:r w:rsidR="00140CC2" w:rsidRPr="00571583">
        <w:t xml:space="preserve">, consider </w:t>
      </w:r>
      <w:r w:rsidR="00A1442F" w:rsidRPr="00571583">
        <w:t>ETF</w:t>
      </w:r>
      <w:r w:rsidR="003A7373" w:rsidRPr="00571583">
        <w:rPr>
          <w:rFonts w:cs="Arial"/>
          <w:color w:val="000000"/>
        </w:rPr>
        <w:t xml:space="preserve"> </w:t>
      </w:r>
      <w:r w:rsidR="00A1442F" w:rsidRPr="00571583">
        <w:t>methodolog</w:t>
      </w:r>
      <w:r w:rsidR="00140CC2" w:rsidRPr="00571583">
        <w:t>y diversity</w:t>
      </w:r>
      <w:r w:rsidR="003A7373" w:rsidRPr="00571583">
        <w:rPr>
          <w:rFonts w:cs="Arial"/>
          <w:color w:val="000000"/>
        </w:rPr>
        <w:t xml:space="preserve">. </w:t>
      </w:r>
    </w:p>
    <w:sectPr w:rsidR="00425181" w:rsidRPr="00D10C07" w:rsidSect="0049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1D28B2"/>
    <w:rsid w:val="00000056"/>
    <w:rsid w:val="000022BA"/>
    <w:rsid w:val="000042F3"/>
    <w:rsid w:val="000105B3"/>
    <w:rsid w:val="0001272C"/>
    <w:rsid w:val="0001477A"/>
    <w:rsid w:val="000173F9"/>
    <w:rsid w:val="000178AE"/>
    <w:rsid w:val="0002129C"/>
    <w:rsid w:val="00023779"/>
    <w:rsid w:val="000252CE"/>
    <w:rsid w:val="00030E6B"/>
    <w:rsid w:val="00033003"/>
    <w:rsid w:val="00033645"/>
    <w:rsid w:val="000356AF"/>
    <w:rsid w:val="00035B58"/>
    <w:rsid w:val="00036008"/>
    <w:rsid w:val="00037E65"/>
    <w:rsid w:val="00040204"/>
    <w:rsid w:val="00043AB2"/>
    <w:rsid w:val="0004436F"/>
    <w:rsid w:val="000444D2"/>
    <w:rsid w:val="00047DF9"/>
    <w:rsid w:val="000604F8"/>
    <w:rsid w:val="00064226"/>
    <w:rsid w:val="00065B5C"/>
    <w:rsid w:val="00066527"/>
    <w:rsid w:val="0007589F"/>
    <w:rsid w:val="00075D6F"/>
    <w:rsid w:val="00076C12"/>
    <w:rsid w:val="000845BB"/>
    <w:rsid w:val="00085240"/>
    <w:rsid w:val="00087476"/>
    <w:rsid w:val="000A0CA7"/>
    <w:rsid w:val="000A3899"/>
    <w:rsid w:val="000A63C1"/>
    <w:rsid w:val="000A6B9F"/>
    <w:rsid w:val="000B373D"/>
    <w:rsid w:val="000B7F85"/>
    <w:rsid w:val="000C0032"/>
    <w:rsid w:val="000C01B8"/>
    <w:rsid w:val="000C1C1E"/>
    <w:rsid w:val="000C1E52"/>
    <w:rsid w:val="000C33A6"/>
    <w:rsid w:val="000C3D1A"/>
    <w:rsid w:val="000C5715"/>
    <w:rsid w:val="000C6A86"/>
    <w:rsid w:val="000C7963"/>
    <w:rsid w:val="000D0F41"/>
    <w:rsid w:val="000D326B"/>
    <w:rsid w:val="000D3F1A"/>
    <w:rsid w:val="000D4974"/>
    <w:rsid w:val="000D52B3"/>
    <w:rsid w:val="000D54B2"/>
    <w:rsid w:val="000D72BA"/>
    <w:rsid w:val="000E0AE6"/>
    <w:rsid w:val="000E1798"/>
    <w:rsid w:val="000E1B15"/>
    <w:rsid w:val="000E1F4C"/>
    <w:rsid w:val="000E2195"/>
    <w:rsid w:val="000E58FE"/>
    <w:rsid w:val="000F1AC2"/>
    <w:rsid w:val="000F208D"/>
    <w:rsid w:val="000F22CC"/>
    <w:rsid w:val="000F52B8"/>
    <w:rsid w:val="000F6157"/>
    <w:rsid w:val="000F6523"/>
    <w:rsid w:val="000F6EF4"/>
    <w:rsid w:val="000F76D5"/>
    <w:rsid w:val="000F7B2C"/>
    <w:rsid w:val="00100130"/>
    <w:rsid w:val="001012CE"/>
    <w:rsid w:val="00101E3B"/>
    <w:rsid w:val="00103E3C"/>
    <w:rsid w:val="00106397"/>
    <w:rsid w:val="00106890"/>
    <w:rsid w:val="001072D8"/>
    <w:rsid w:val="001120A7"/>
    <w:rsid w:val="00112C28"/>
    <w:rsid w:val="00112EB9"/>
    <w:rsid w:val="0011309D"/>
    <w:rsid w:val="00114955"/>
    <w:rsid w:val="00115B03"/>
    <w:rsid w:val="00120720"/>
    <w:rsid w:val="001237DA"/>
    <w:rsid w:val="0012479B"/>
    <w:rsid w:val="00134152"/>
    <w:rsid w:val="001363AE"/>
    <w:rsid w:val="00140CC2"/>
    <w:rsid w:val="0014148D"/>
    <w:rsid w:val="001423E4"/>
    <w:rsid w:val="00142492"/>
    <w:rsid w:val="00142EFA"/>
    <w:rsid w:val="001446C8"/>
    <w:rsid w:val="00145298"/>
    <w:rsid w:val="00145EAB"/>
    <w:rsid w:val="00150250"/>
    <w:rsid w:val="001512B0"/>
    <w:rsid w:val="00151A8F"/>
    <w:rsid w:val="00154201"/>
    <w:rsid w:val="001610E1"/>
    <w:rsid w:val="00163867"/>
    <w:rsid w:val="00164E43"/>
    <w:rsid w:val="001655F8"/>
    <w:rsid w:val="00166794"/>
    <w:rsid w:val="0016745C"/>
    <w:rsid w:val="001677C3"/>
    <w:rsid w:val="00170A17"/>
    <w:rsid w:val="00176F1C"/>
    <w:rsid w:val="00177207"/>
    <w:rsid w:val="00177D4C"/>
    <w:rsid w:val="0018099C"/>
    <w:rsid w:val="00181AA3"/>
    <w:rsid w:val="0018468B"/>
    <w:rsid w:val="001871EC"/>
    <w:rsid w:val="00192965"/>
    <w:rsid w:val="001958BE"/>
    <w:rsid w:val="001A32A0"/>
    <w:rsid w:val="001B28D8"/>
    <w:rsid w:val="001B3849"/>
    <w:rsid w:val="001B45D2"/>
    <w:rsid w:val="001B7E7F"/>
    <w:rsid w:val="001B7EBB"/>
    <w:rsid w:val="001C1F79"/>
    <w:rsid w:val="001C2A8E"/>
    <w:rsid w:val="001C48A5"/>
    <w:rsid w:val="001C6D18"/>
    <w:rsid w:val="001D1A14"/>
    <w:rsid w:val="001D28B2"/>
    <w:rsid w:val="001D5F41"/>
    <w:rsid w:val="001E1FAD"/>
    <w:rsid w:val="001E4B45"/>
    <w:rsid w:val="001E541C"/>
    <w:rsid w:val="001F17C3"/>
    <w:rsid w:val="001F4682"/>
    <w:rsid w:val="001F53AB"/>
    <w:rsid w:val="001F5FDB"/>
    <w:rsid w:val="00200A59"/>
    <w:rsid w:val="00205846"/>
    <w:rsid w:val="002076E5"/>
    <w:rsid w:val="00207BAB"/>
    <w:rsid w:val="00210478"/>
    <w:rsid w:val="00211A89"/>
    <w:rsid w:val="00212467"/>
    <w:rsid w:val="00213793"/>
    <w:rsid w:val="00217AE0"/>
    <w:rsid w:val="00217B20"/>
    <w:rsid w:val="00217F28"/>
    <w:rsid w:val="002258E9"/>
    <w:rsid w:val="00232E31"/>
    <w:rsid w:val="002336C1"/>
    <w:rsid w:val="0023500E"/>
    <w:rsid w:val="00236787"/>
    <w:rsid w:val="00237E9D"/>
    <w:rsid w:val="00242FA7"/>
    <w:rsid w:val="0024621C"/>
    <w:rsid w:val="002472EC"/>
    <w:rsid w:val="00247828"/>
    <w:rsid w:val="00251178"/>
    <w:rsid w:val="00252AB3"/>
    <w:rsid w:val="00263A86"/>
    <w:rsid w:val="00266138"/>
    <w:rsid w:val="00267DDE"/>
    <w:rsid w:val="002712F2"/>
    <w:rsid w:val="00273AC2"/>
    <w:rsid w:val="00277569"/>
    <w:rsid w:val="002776B9"/>
    <w:rsid w:val="00281A02"/>
    <w:rsid w:val="00282844"/>
    <w:rsid w:val="00283501"/>
    <w:rsid w:val="002918AE"/>
    <w:rsid w:val="00292B27"/>
    <w:rsid w:val="00294AC8"/>
    <w:rsid w:val="002A0FA2"/>
    <w:rsid w:val="002A1910"/>
    <w:rsid w:val="002A6024"/>
    <w:rsid w:val="002A6517"/>
    <w:rsid w:val="002A6CF4"/>
    <w:rsid w:val="002A79EA"/>
    <w:rsid w:val="002B1005"/>
    <w:rsid w:val="002B14A2"/>
    <w:rsid w:val="002B239D"/>
    <w:rsid w:val="002B23CA"/>
    <w:rsid w:val="002B3AEC"/>
    <w:rsid w:val="002C10B6"/>
    <w:rsid w:val="002C59A0"/>
    <w:rsid w:val="002D14BD"/>
    <w:rsid w:val="002D2D7F"/>
    <w:rsid w:val="002D76F3"/>
    <w:rsid w:val="002E168C"/>
    <w:rsid w:val="002E18DF"/>
    <w:rsid w:val="002E4415"/>
    <w:rsid w:val="002E47E3"/>
    <w:rsid w:val="002E532F"/>
    <w:rsid w:val="002E58DF"/>
    <w:rsid w:val="002E5CAB"/>
    <w:rsid w:val="002F33A2"/>
    <w:rsid w:val="002F5E53"/>
    <w:rsid w:val="003028B4"/>
    <w:rsid w:val="003033AB"/>
    <w:rsid w:val="003051C9"/>
    <w:rsid w:val="00310051"/>
    <w:rsid w:val="00310E64"/>
    <w:rsid w:val="00311AC5"/>
    <w:rsid w:val="00311B51"/>
    <w:rsid w:val="00314271"/>
    <w:rsid w:val="00324CD1"/>
    <w:rsid w:val="0032527F"/>
    <w:rsid w:val="00326191"/>
    <w:rsid w:val="003270D5"/>
    <w:rsid w:val="0032745D"/>
    <w:rsid w:val="0032747D"/>
    <w:rsid w:val="003320E9"/>
    <w:rsid w:val="003354B8"/>
    <w:rsid w:val="0033702E"/>
    <w:rsid w:val="003401A6"/>
    <w:rsid w:val="00340D47"/>
    <w:rsid w:val="00342399"/>
    <w:rsid w:val="00343BC4"/>
    <w:rsid w:val="00344AF6"/>
    <w:rsid w:val="0034581F"/>
    <w:rsid w:val="00345FEA"/>
    <w:rsid w:val="00346A2B"/>
    <w:rsid w:val="00346AC3"/>
    <w:rsid w:val="003470A0"/>
    <w:rsid w:val="00347A19"/>
    <w:rsid w:val="003503F7"/>
    <w:rsid w:val="003506B8"/>
    <w:rsid w:val="003558A9"/>
    <w:rsid w:val="00360105"/>
    <w:rsid w:val="00364E32"/>
    <w:rsid w:val="00366884"/>
    <w:rsid w:val="0037200B"/>
    <w:rsid w:val="00376979"/>
    <w:rsid w:val="00377347"/>
    <w:rsid w:val="003773C1"/>
    <w:rsid w:val="00377F4E"/>
    <w:rsid w:val="003808F8"/>
    <w:rsid w:val="0038279B"/>
    <w:rsid w:val="003830FF"/>
    <w:rsid w:val="00383652"/>
    <w:rsid w:val="00392988"/>
    <w:rsid w:val="00392CBB"/>
    <w:rsid w:val="00396058"/>
    <w:rsid w:val="00396913"/>
    <w:rsid w:val="003A0E0E"/>
    <w:rsid w:val="003A2745"/>
    <w:rsid w:val="003A32CD"/>
    <w:rsid w:val="003A4315"/>
    <w:rsid w:val="003A46B8"/>
    <w:rsid w:val="003A4858"/>
    <w:rsid w:val="003A6E9B"/>
    <w:rsid w:val="003A7373"/>
    <w:rsid w:val="003B0AD2"/>
    <w:rsid w:val="003B0AF0"/>
    <w:rsid w:val="003B0D1E"/>
    <w:rsid w:val="003B1FC4"/>
    <w:rsid w:val="003B2156"/>
    <w:rsid w:val="003B3ADB"/>
    <w:rsid w:val="003B3E28"/>
    <w:rsid w:val="003B4C4D"/>
    <w:rsid w:val="003B5546"/>
    <w:rsid w:val="003B56D7"/>
    <w:rsid w:val="003B7718"/>
    <w:rsid w:val="003B7B5E"/>
    <w:rsid w:val="003C2285"/>
    <w:rsid w:val="003C3933"/>
    <w:rsid w:val="003C6F94"/>
    <w:rsid w:val="003C7986"/>
    <w:rsid w:val="003D0E57"/>
    <w:rsid w:val="003D1140"/>
    <w:rsid w:val="003D2C4E"/>
    <w:rsid w:val="003D423C"/>
    <w:rsid w:val="003D5116"/>
    <w:rsid w:val="003D5E5A"/>
    <w:rsid w:val="003D6730"/>
    <w:rsid w:val="003E2A02"/>
    <w:rsid w:val="003E3629"/>
    <w:rsid w:val="003E3B09"/>
    <w:rsid w:val="003E51A1"/>
    <w:rsid w:val="003E67E0"/>
    <w:rsid w:val="003F2EA2"/>
    <w:rsid w:val="003F5A1B"/>
    <w:rsid w:val="003F631A"/>
    <w:rsid w:val="003F77F7"/>
    <w:rsid w:val="003F7EC2"/>
    <w:rsid w:val="00402031"/>
    <w:rsid w:val="00402558"/>
    <w:rsid w:val="00403A69"/>
    <w:rsid w:val="00407C04"/>
    <w:rsid w:val="004103AD"/>
    <w:rsid w:val="00412672"/>
    <w:rsid w:val="00414D49"/>
    <w:rsid w:val="00415B4D"/>
    <w:rsid w:val="00425181"/>
    <w:rsid w:val="004252BE"/>
    <w:rsid w:val="0042795A"/>
    <w:rsid w:val="00431F98"/>
    <w:rsid w:val="00432C88"/>
    <w:rsid w:val="004345AF"/>
    <w:rsid w:val="00435DF8"/>
    <w:rsid w:val="00437326"/>
    <w:rsid w:val="00437D8F"/>
    <w:rsid w:val="00440302"/>
    <w:rsid w:val="00442959"/>
    <w:rsid w:val="004451D5"/>
    <w:rsid w:val="00446476"/>
    <w:rsid w:val="00446E53"/>
    <w:rsid w:val="00452A0D"/>
    <w:rsid w:val="004540AA"/>
    <w:rsid w:val="0045486D"/>
    <w:rsid w:val="00455DD7"/>
    <w:rsid w:val="0045698F"/>
    <w:rsid w:val="004571FC"/>
    <w:rsid w:val="0045732A"/>
    <w:rsid w:val="00457CCB"/>
    <w:rsid w:val="00461030"/>
    <w:rsid w:val="0046108A"/>
    <w:rsid w:val="004617CD"/>
    <w:rsid w:val="00463642"/>
    <w:rsid w:val="0046366C"/>
    <w:rsid w:val="004637C7"/>
    <w:rsid w:val="0046481D"/>
    <w:rsid w:val="00467D55"/>
    <w:rsid w:val="0047029B"/>
    <w:rsid w:val="004744B8"/>
    <w:rsid w:val="004773B5"/>
    <w:rsid w:val="00477B44"/>
    <w:rsid w:val="004812F8"/>
    <w:rsid w:val="00482412"/>
    <w:rsid w:val="0048296F"/>
    <w:rsid w:val="00482F19"/>
    <w:rsid w:val="0048418F"/>
    <w:rsid w:val="00484521"/>
    <w:rsid w:val="004848D3"/>
    <w:rsid w:val="0048551A"/>
    <w:rsid w:val="004858D4"/>
    <w:rsid w:val="0048786A"/>
    <w:rsid w:val="00492282"/>
    <w:rsid w:val="00494112"/>
    <w:rsid w:val="0049524B"/>
    <w:rsid w:val="004A0AF1"/>
    <w:rsid w:val="004A1799"/>
    <w:rsid w:val="004A2BB4"/>
    <w:rsid w:val="004A6A31"/>
    <w:rsid w:val="004B0F40"/>
    <w:rsid w:val="004B326D"/>
    <w:rsid w:val="004B4288"/>
    <w:rsid w:val="004B5FB4"/>
    <w:rsid w:val="004C1844"/>
    <w:rsid w:val="004C2D9E"/>
    <w:rsid w:val="004C4FA9"/>
    <w:rsid w:val="004C7CB7"/>
    <w:rsid w:val="004D067F"/>
    <w:rsid w:val="004D0708"/>
    <w:rsid w:val="004D21D2"/>
    <w:rsid w:val="004D2EF3"/>
    <w:rsid w:val="004D3DCE"/>
    <w:rsid w:val="004D56B0"/>
    <w:rsid w:val="004D5AEC"/>
    <w:rsid w:val="004D60CE"/>
    <w:rsid w:val="004E6B28"/>
    <w:rsid w:val="004E726C"/>
    <w:rsid w:val="004F08F6"/>
    <w:rsid w:val="004F37B5"/>
    <w:rsid w:val="004F3EDB"/>
    <w:rsid w:val="004F585F"/>
    <w:rsid w:val="004F5CC8"/>
    <w:rsid w:val="004F5E58"/>
    <w:rsid w:val="004F7FC3"/>
    <w:rsid w:val="00503A83"/>
    <w:rsid w:val="0051285D"/>
    <w:rsid w:val="005148CC"/>
    <w:rsid w:val="00517CC1"/>
    <w:rsid w:val="00520713"/>
    <w:rsid w:val="0052167A"/>
    <w:rsid w:val="00524356"/>
    <w:rsid w:val="00526584"/>
    <w:rsid w:val="0053123C"/>
    <w:rsid w:val="005358AA"/>
    <w:rsid w:val="00537DB4"/>
    <w:rsid w:val="00542592"/>
    <w:rsid w:val="005432D8"/>
    <w:rsid w:val="00543D4C"/>
    <w:rsid w:val="00545573"/>
    <w:rsid w:val="00551052"/>
    <w:rsid w:val="005523E5"/>
    <w:rsid w:val="00553594"/>
    <w:rsid w:val="005538AE"/>
    <w:rsid w:val="00553C3A"/>
    <w:rsid w:val="00554933"/>
    <w:rsid w:val="00554EDD"/>
    <w:rsid w:val="00555136"/>
    <w:rsid w:val="00556E0B"/>
    <w:rsid w:val="00560684"/>
    <w:rsid w:val="00560C24"/>
    <w:rsid w:val="00561918"/>
    <w:rsid w:val="00565091"/>
    <w:rsid w:val="00566BA3"/>
    <w:rsid w:val="00567B6E"/>
    <w:rsid w:val="005703E1"/>
    <w:rsid w:val="00571282"/>
    <w:rsid w:val="00571583"/>
    <w:rsid w:val="00572B05"/>
    <w:rsid w:val="00573B82"/>
    <w:rsid w:val="00575717"/>
    <w:rsid w:val="00575A2C"/>
    <w:rsid w:val="00576521"/>
    <w:rsid w:val="00576B4A"/>
    <w:rsid w:val="00577B17"/>
    <w:rsid w:val="00581D8E"/>
    <w:rsid w:val="005831B6"/>
    <w:rsid w:val="005851A6"/>
    <w:rsid w:val="00587658"/>
    <w:rsid w:val="00591930"/>
    <w:rsid w:val="00597D69"/>
    <w:rsid w:val="005A00BB"/>
    <w:rsid w:val="005A12CB"/>
    <w:rsid w:val="005A1342"/>
    <w:rsid w:val="005A3823"/>
    <w:rsid w:val="005A3965"/>
    <w:rsid w:val="005A4254"/>
    <w:rsid w:val="005A697C"/>
    <w:rsid w:val="005B1B6C"/>
    <w:rsid w:val="005B5F66"/>
    <w:rsid w:val="005C0A68"/>
    <w:rsid w:val="005C0D55"/>
    <w:rsid w:val="005C2135"/>
    <w:rsid w:val="005C35CE"/>
    <w:rsid w:val="005C429D"/>
    <w:rsid w:val="005D0D27"/>
    <w:rsid w:val="005D0FF9"/>
    <w:rsid w:val="005D1975"/>
    <w:rsid w:val="005D1E6B"/>
    <w:rsid w:val="005D235B"/>
    <w:rsid w:val="005D3E0C"/>
    <w:rsid w:val="005D7A41"/>
    <w:rsid w:val="005E05C7"/>
    <w:rsid w:val="005E1356"/>
    <w:rsid w:val="005E180C"/>
    <w:rsid w:val="005E4109"/>
    <w:rsid w:val="005E483B"/>
    <w:rsid w:val="005E58B4"/>
    <w:rsid w:val="005F290F"/>
    <w:rsid w:val="005F3F50"/>
    <w:rsid w:val="005F45D9"/>
    <w:rsid w:val="005F7A18"/>
    <w:rsid w:val="00601206"/>
    <w:rsid w:val="006012E5"/>
    <w:rsid w:val="00611FF9"/>
    <w:rsid w:val="00612EFB"/>
    <w:rsid w:val="00615709"/>
    <w:rsid w:val="0061658D"/>
    <w:rsid w:val="00617301"/>
    <w:rsid w:val="006206E9"/>
    <w:rsid w:val="0062135A"/>
    <w:rsid w:val="0062340D"/>
    <w:rsid w:val="00623716"/>
    <w:rsid w:val="00625510"/>
    <w:rsid w:val="00631E5A"/>
    <w:rsid w:val="00634175"/>
    <w:rsid w:val="006342DE"/>
    <w:rsid w:val="00636C24"/>
    <w:rsid w:val="00637393"/>
    <w:rsid w:val="006410D2"/>
    <w:rsid w:val="006420D0"/>
    <w:rsid w:val="00642DF6"/>
    <w:rsid w:val="00643637"/>
    <w:rsid w:val="00653090"/>
    <w:rsid w:val="00654302"/>
    <w:rsid w:val="006559C6"/>
    <w:rsid w:val="00655D9C"/>
    <w:rsid w:val="006609BD"/>
    <w:rsid w:val="00660F19"/>
    <w:rsid w:val="00661D4E"/>
    <w:rsid w:val="00664AAB"/>
    <w:rsid w:val="00667347"/>
    <w:rsid w:val="00672D7D"/>
    <w:rsid w:val="006744ED"/>
    <w:rsid w:val="006801EA"/>
    <w:rsid w:val="006807D7"/>
    <w:rsid w:val="00683520"/>
    <w:rsid w:val="00687B35"/>
    <w:rsid w:val="00691761"/>
    <w:rsid w:val="006977DA"/>
    <w:rsid w:val="0069792C"/>
    <w:rsid w:val="00697E62"/>
    <w:rsid w:val="006A05F2"/>
    <w:rsid w:val="006A109A"/>
    <w:rsid w:val="006A5366"/>
    <w:rsid w:val="006B5040"/>
    <w:rsid w:val="006C20E7"/>
    <w:rsid w:val="006C25D5"/>
    <w:rsid w:val="006C4CAC"/>
    <w:rsid w:val="006D28BB"/>
    <w:rsid w:val="006D4E46"/>
    <w:rsid w:val="006D5389"/>
    <w:rsid w:val="006D69BD"/>
    <w:rsid w:val="006D7053"/>
    <w:rsid w:val="006D780E"/>
    <w:rsid w:val="006E054F"/>
    <w:rsid w:val="006E3424"/>
    <w:rsid w:val="006F0A93"/>
    <w:rsid w:val="006F1EEC"/>
    <w:rsid w:val="006F2138"/>
    <w:rsid w:val="006F5175"/>
    <w:rsid w:val="006F6C63"/>
    <w:rsid w:val="006F6FA7"/>
    <w:rsid w:val="006F703F"/>
    <w:rsid w:val="007009EA"/>
    <w:rsid w:val="0070171F"/>
    <w:rsid w:val="00703CE7"/>
    <w:rsid w:val="00704C4C"/>
    <w:rsid w:val="00711DD4"/>
    <w:rsid w:val="0071248B"/>
    <w:rsid w:val="00712C4E"/>
    <w:rsid w:val="00713DAB"/>
    <w:rsid w:val="00714D72"/>
    <w:rsid w:val="00720829"/>
    <w:rsid w:val="00721662"/>
    <w:rsid w:val="00723C1E"/>
    <w:rsid w:val="00725986"/>
    <w:rsid w:val="00725FF1"/>
    <w:rsid w:val="00727EEE"/>
    <w:rsid w:val="00731221"/>
    <w:rsid w:val="007374E3"/>
    <w:rsid w:val="007413F2"/>
    <w:rsid w:val="0074240D"/>
    <w:rsid w:val="00743392"/>
    <w:rsid w:val="00745294"/>
    <w:rsid w:val="00747873"/>
    <w:rsid w:val="00754FE7"/>
    <w:rsid w:val="007554AE"/>
    <w:rsid w:val="00760AE4"/>
    <w:rsid w:val="00760AEF"/>
    <w:rsid w:val="00761CDB"/>
    <w:rsid w:val="00765732"/>
    <w:rsid w:val="00765B7C"/>
    <w:rsid w:val="00766BE3"/>
    <w:rsid w:val="0076748D"/>
    <w:rsid w:val="00767958"/>
    <w:rsid w:val="007703F9"/>
    <w:rsid w:val="00770A56"/>
    <w:rsid w:val="00771B59"/>
    <w:rsid w:val="00775079"/>
    <w:rsid w:val="0078089C"/>
    <w:rsid w:val="0078185E"/>
    <w:rsid w:val="0078343A"/>
    <w:rsid w:val="00784D0A"/>
    <w:rsid w:val="00784FC9"/>
    <w:rsid w:val="00786437"/>
    <w:rsid w:val="00786C38"/>
    <w:rsid w:val="00787702"/>
    <w:rsid w:val="00790C91"/>
    <w:rsid w:val="007919A6"/>
    <w:rsid w:val="00793223"/>
    <w:rsid w:val="007943C6"/>
    <w:rsid w:val="007946D5"/>
    <w:rsid w:val="00794B7F"/>
    <w:rsid w:val="00796A00"/>
    <w:rsid w:val="007A0E9C"/>
    <w:rsid w:val="007A1AD8"/>
    <w:rsid w:val="007A5C8A"/>
    <w:rsid w:val="007A5D93"/>
    <w:rsid w:val="007B1ADA"/>
    <w:rsid w:val="007B3B17"/>
    <w:rsid w:val="007B6CA5"/>
    <w:rsid w:val="007B79FD"/>
    <w:rsid w:val="007B7C38"/>
    <w:rsid w:val="007B7CFD"/>
    <w:rsid w:val="007C0726"/>
    <w:rsid w:val="007C149E"/>
    <w:rsid w:val="007C1BBA"/>
    <w:rsid w:val="007C4BC7"/>
    <w:rsid w:val="007C6A2A"/>
    <w:rsid w:val="007C6F5A"/>
    <w:rsid w:val="007D3E9D"/>
    <w:rsid w:val="007D4EEB"/>
    <w:rsid w:val="007E0965"/>
    <w:rsid w:val="007E377F"/>
    <w:rsid w:val="007E4CE3"/>
    <w:rsid w:val="007E51A3"/>
    <w:rsid w:val="007E5CF9"/>
    <w:rsid w:val="007F18C1"/>
    <w:rsid w:val="007F2E06"/>
    <w:rsid w:val="007F3A7E"/>
    <w:rsid w:val="007F3EF4"/>
    <w:rsid w:val="007F4C61"/>
    <w:rsid w:val="007F5877"/>
    <w:rsid w:val="007F679C"/>
    <w:rsid w:val="007F69A1"/>
    <w:rsid w:val="0080270C"/>
    <w:rsid w:val="00802F16"/>
    <w:rsid w:val="00805520"/>
    <w:rsid w:val="00805D24"/>
    <w:rsid w:val="0080744D"/>
    <w:rsid w:val="008103B4"/>
    <w:rsid w:val="0081284C"/>
    <w:rsid w:val="008177EC"/>
    <w:rsid w:val="008202AD"/>
    <w:rsid w:val="00822056"/>
    <w:rsid w:val="008235BA"/>
    <w:rsid w:val="00823D94"/>
    <w:rsid w:val="00824B00"/>
    <w:rsid w:val="008268BE"/>
    <w:rsid w:val="0082737A"/>
    <w:rsid w:val="00830175"/>
    <w:rsid w:val="00832196"/>
    <w:rsid w:val="00835441"/>
    <w:rsid w:val="00836C51"/>
    <w:rsid w:val="00836EDB"/>
    <w:rsid w:val="008372A1"/>
    <w:rsid w:val="0084086F"/>
    <w:rsid w:val="008458D6"/>
    <w:rsid w:val="008477EB"/>
    <w:rsid w:val="008514C2"/>
    <w:rsid w:val="00851E19"/>
    <w:rsid w:val="00854A93"/>
    <w:rsid w:val="0085520F"/>
    <w:rsid w:val="00857F05"/>
    <w:rsid w:val="00862CEC"/>
    <w:rsid w:val="00863B76"/>
    <w:rsid w:val="0086475D"/>
    <w:rsid w:val="0087218B"/>
    <w:rsid w:val="00873AE3"/>
    <w:rsid w:val="00873C20"/>
    <w:rsid w:val="008757FE"/>
    <w:rsid w:val="008760AA"/>
    <w:rsid w:val="0087620D"/>
    <w:rsid w:val="00877D1B"/>
    <w:rsid w:val="008819D9"/>
    <w:rsid w:val="008820A2"/>
    <w:rsid w:val="00884F16"/>
    <w:rsid w:val="00886647"/>
    <w:rsid w:val="00886DCB"/>
    <w:rsid w:val="00887DE5"/>
    <w:rsid w:val="00887E8B"/>
    <w:rsid w:val="00891DF3"/>
    <w:rsid w:val="008962AF"/>
    <w:rsid w:val="008A11D2"/>
    <w:rsid w:val="008A3808"/>
    <w:rsid w:val="008B16E5"/>
    <w:rsid w:val="008B1D04"/>
    <w:rsid w:val="008B2641"/>
    <w:rsid w:val="008B3F52"/>
    <w:rsid w:val="008B41A7"/>
    <w:rsid w:val="008B5269"/>
    <w:rsid w:val="008B6DBD"/>
    <w:rsid w:val="008C2AF7"/>
    <w:rsid w:val="008C472B"/>
    <w:rsid w:val="008C4D9A"/>
    <w:rsid w:val="008C560C"/>
    <w:rsid w:val="008C7312"/>
    <w:rsid w:val="008C7EA9"/>
    <w:rsid w:val="008D4661"/>
    <w:rsid w:val="008D4CB9"/>
    <w:rsid w:val="008D4E08"/>
    <w:rsid w:val="008D50D7"/>
    <w:rsid w:val="008D70FE"/>
    <w:rsid w:val="008D7F32"/>
    <w:rsid w:val="008E146E"/>
    <w:rsid w:val="008E289E"/>
    <w:rsid w:val="008E440F"/>
    <w:rsid w:val="008E5135"/>
    <w:rsid w:val="008F2F84"/>
    <w:rsid w:val="008F394F"/>
    <w:rsid w:val="008F494B"/>
    <w:rsid w:val="00901E98"/>
    <w:rsid w:val="009069A1"/>
    <w:rsid w:val="00910516"/>
    <w:rsid w:val="009136C9"/>
    <w:rsid w:val="00914B0E"/>
    <w:rsid w:val="00915D17"/>
    <w:rsid w:val="0091793C"/>
    <w:rsid w:val="009202A5"/>
    <w:rsid w:val="00923CF0"/>
    <w:rsid w:val="009258C7"/>
    <w:rsid w:val="009262CE"/>
    <w:rsid w:val="00933A54"/>
    <w:rsid w:val="0093563E"/>
    <w:rsid w:val="0094123D"/>
    <w:rsid w:val="00941AC3"/>
    <w:rsid w:val="00943567"/>
    <w:rsid w:val="00944E6A"/>
    <w:rsid w:val="00951754"/>
    <w:rsid w:val="00951B0B"/>
    <w:rsid w:val="00952B27"/>
    <w:rsid w:val="00953946"/>
    <w:rsid w:val="00953ACB"/>
    <w:rsid w:val="00955A03"/>
    <w:rsid w:val="00955CF5"/>
    <w:rsid w:val="0096204D"/>
    <w:rsid w:val="009642B7"/>
    <w:rsid w:val="0096440D"/>
    <w:rsid w:val="00964451"/>
    <w:rsid w:val="00966B5C"/>
    <w:rsid w:val="009676ED"/>
    <w:rsid w:val="00967793"/>
    <w:rsid w:val="00972115"/>
    <w:rsid w:val="00972709"/>
    <w:rsid w:val="009744A3"/>
    <w:rsid w:val="009770A5"/>
    <w:rsid w:val="00977B07"/>
    <w:rsid w:val="00985C5D"/>
    <w:rsid w:val="00987F70"/>
    <w:rsid w:val="0099136C"/>
    <w:rsid w:val="00991675"/>
    <w:rsid w:val="0099413D"/>
    <w:rsid w:val="00996717"/>
    <w:rsid w:val="009A110B"/>
    <w:rsid w:val="009A1591"/>
    <w:rsid w:val="009A1B96"/>
    <w:rsid w:val="009A3019"/>
    <w:rsid w:val="009A41E3"/>
    <w:rsid w:val="009A6B2C"/>
    <w:rsid w:val="009B09FA"/>
    <w:rsid w:val="009B0E6C"/>
    <w:rsid w:val="009B41C7"/>
    <w:rsid w:val="009B436D"/>
    <w:rsid w:val="009B7FCB"/>
    <w:rsid w:val="009C5A80"/>
    <w:rsid w:val="009C7541"/>
    <w:rsid w:val="009D2176"/>
    <w:rsid w:val="009D61DB"/>
    <w:rsid w:val="009D7BC7"/>
    <w:rsid w:val="009E0D4D"/>
    <w:rsid w:val="009E282D"/>
    <w:rsid w:val="009E3239"/>
    <w:rsid w:val="009E4385"/>
    <w:rsid w:val="009E5BC0"/>
    <w:rsid w:val="009F1A60"/>
    <w:rsid w:val="009F1C90"/>
    <w:rsid w:val="009F238B"/>
    <w:rsid w:val="009F437D"/>
    <w:rsid w:val="00A004B5"/>
    <w:rsid w:val="00A03B07"/>
    <w:rsid w:val="00A04241"/>
    <w:rsid w:val="00A04965"/>
    <w:rsid w:val="00A117FB"/>
    <w:rsid w:val="00A12442"/>
    <w:rsid w:val="00A1290A"/>
    <w:rsid w:val="00A1442F"/>
    <w:rsid w:val="00A15D0D"/>
    <w:rsid w:val="00A15DD5"/>
    <w:rsid w:val="00A177EA"/>
    <w:rsid w:val="00A21DF1"/>
    <w:rsid w:val="00A24CF4"/>
    <w:rsid w:val="00A24F9D"/>
    <w:rsid w:val="00A25DD5"/>
    <w:rsid w:val="00A2696D"/>
    <w:rsid w:val="00A276F8"/>
    <w:rsid w:val="00A27798"/>
    <w:rsid w:val="00A31223"/>
    <w:rsid w:val="00A35B6B"/>
    <w:rsid w:val="00A37CFC"/>
    <w:rsid w:val="00A4210E"/>
    <w:rsid w:val="00A43823"/>
    <w:rsid w:val="00A43EDF"/>
    <w:rsid w:val="00A44919"/>
    <w:rsid w:val="00A44A4A"/>
    <w:rsid w:val="00A472B9"/>
    <w:rsid w:val="00A4737F"/>
    <w:rsid w:val="00A51345"/>
    <w:rsid w:val="00A51E15"/>
    <w:rsid w:val="00A52D57"/>
    <w:rsid w:val="00A52FED"/>
    <w:rsid w:val="00A53022"/>
    <w:rsid w:val="00A56289"/>
    <w:rsid w:val="00A56821"/>
    <w:rsid w:val="00A60C84"/>
    <w:rsid w:val="00A61AEA"/>
    <w:rsid w:val="00A63F97"/>
    <w:rsid w:val="00A64922"/>
    <w:rsid w:val="00A65A90"/>
    <w:rsid w:val="00A67F18"/>
    <w:rsid w:val="00A70A3C"/>
    <w:rsid w:val="00A70B5E"/>
    <w:rsid w:val="00A73620"/>
    <w:rsid w:val="00A7398F"/>
    <w:rsid w:val="00A74C95"/>
    <w:rsid w:val="00A75AB4"/>
    <w:rsid w:val="00A7623A"/>
    <w:rsid w:val="00A81755"/>
    <w:rsid w:val="00A81DEF"/>
    <w:rsid w:val="00A83979"/>
    <w:rsid w:val="00A83E79"/>
    <w:rsid w:val="00A86B95"/>
    <w:rsid w:val="00A86CDE"/>
    <w:rsid w:val="00A86FFA"/>
    <w:rsid w:val="00A87409"/>
    <w:rsid w:val="00A9029E"/>
    <w:rsid w:val="00A9079B"/>
    <w:rsid w:val="00A973D5"/>
    <w:rsid w:val="00AA0750"/>
    <w:rsid w:val="00AA3375"/>
    <w:rsid w:val="00AA4734"/>
    <w:rsid w:val="00AA4FCC"/>
    <w:rsid w:val="00AB0544"/>
    <w:rsid w:val="00AB093E"/>
    <w:rsid w:val="00AB4D2E"/>
    <w:rsid w:val="00AB6124"/>
    <w:rsid w:val="00AB67C6"/>
    <w:rsid w:val="00AB6C94"/>
    <w:rsid w:val="00AB7302"/>
    <w:rsid w:val="00AC1D5A"/>
    <w:rsid w:val="00AC2DE1"/>
    <w:rsid w:val="00AC4846"/>
    <w:rsid w:val="00AC6922"/>
    <w:rsid w:val="00AC7373"/>
    <w:rsid w:val="00AD1527"/>
    <w:rsid w:val="00AD5ABE"/>
    <w:rsid w:val="00AE000C"/>
    <w:rsid w:val="00AE1FD3"/>
    <w:rsid w:val="00AE4AF7"/>
    <w:rsid w:val="00AF05E1"/>
    <w:rsid w:val="00AF2747"/>
    <w:rsid w:val="00AF29C5"/>
    <w:rsid w:val="00AF2E3B"/>
    <w:rsid w:val="00B00F55"/>
    <w:rsid w:val="00B01B61"/>
    <w:rsid w:val="00B02008"/>
    <w:rsid w:val="00B03BC1"/>
    <w:rsid w:val="00B03F04"/>
    <w:rsid w:val="00B04F6A"/>
    <w:rsid w:val="00B05483"/>
    <w:rsid w:val="00B11349"/>
    <w:rsid w:val="00B11465"/>
    <w:rsid w:val="00B11572"/>
    <w:rsid w:val="00B12987"/>
    <w:rsid w:val="00B158A7"/>
    <w:rsid w:val="00B20C75"/>
    <w:rsid w:val="00B214CB"/>
    <w:rsid w:val="00B2154C"/>
    <w:rsid w:val="00B23C8E"/>
    <w:rsid w:val="00B26C3E"/>
    <w:rsid w:val="00B277AF"/>
    <w:rsid w:val="00B27A57"/>
    <w:rsid w:val="00B33299"/>
    <w:rsid w:val="00B3340E"/>
    <w:rsid w:val="00B35846"/>
    <w:rsid w:val="00B36002"/>
    <w:rsid w:val="00B416B6"/>
    <w:rsid w:val="00B423E7"/>
    <w:rsid w:val="00B424F5"/>
    <w:rsid w:val="00B4258D"/>
    <w:rsid w:val="00B4466D"/>
    <w:rsid w:val="00B44F07"/>
    <w:rsid w:val="00B4583E"/>
    <w:rsid w:val="00B46B73"/>
    <w:rsid w:val="00B51609"/>
    <w:rsid w:val="00B51CDE"/>
    <w:rsid w:val="00B53A34"/>
    <w:rsid w:val="00B54C12"/>
    <w:rsid w:val="00B5540A"/>
    <w:rsid w:val="00B56444"/>
    <w:rsid w:val="00B57235"/>
    <w:rsid w:val="00B57F5F"/>
    <w:rsid w:val="00B62874"/>
    <w:rsid w:val="00B62CB1"/>
    <w:rsid w:val="00B63751"/>
    <w:rsid w:val="00B6529A"/>
    <w:rsid w:val="00B66E12"/>
    <w:rsid w:val="00B74BA3"/>
    <w:rsid w:val="00B74D58"/>
    <w:rsid w:val="00B828E4"/>
    <w:rsid w:val="00B82D65"/>
    <w:rsid w:val="00B855D1"/>
    <w:rsid w:val="00B8571E"/>
    <w:rsid w:val="00B92223"/>
    <w:rsid w:val="00B95587"/>
    <w:rsid w:val="00B97992"/>
    <w:rsid w:val="00B97D68"/>
    <w:rsid w:val="00BA1697"/>
    <w:rsid w:val="00BA34C2"/>
    <w:rsid w:val="00BA4828"/>
    <w:rsid w:val="00BA69DC"/>
    <w:rsid w:val="00BA777B"/>
    <w:rsid w:val="00BB0997"/>
    <w:rsid w:val="00BB2B52"/>
    <w:rsid w:val="00BB4EF6"/>
    <w:rsid w:val="00BB5FD1"/>
    <w:rsid w:val="00BB6C89"/>
    <w:rsid w:val="00BC04AF"/>
    <w:rsid w:val="00BC4DBB"/>
    <w:rsid w:val="00BC788B"/>
    <w:rsid w:val="00BC7C71"/>
    <w:rsid w:val="00BD0142"/>
    <w:rsid w:val="00BD0C1D"/>
    <w:rsid w:val="00BD280E"/>
    <w:rsid w:val="00BD4B2A"/>
    <w:rsid w:val="00BD581B"/>
    <w:rsid w:val="00BD6005"/>
    <w:rsid w:val="00BE0A0D"/>
    <w:rsid w:val="00BE1FF7"/>
    <w:rsid w:val="00BE2E1B"/>
    <w:rsid w:val="00BE55A9"/>
    <w:rsid w:val="00BE7467"/>
    <w:rsid w:val="00BF1D5D"/>
    <w:rsid w:val="00BF3BF4"/>
    <w:rsid w:val="00BF5D51"/>
    <w:rsid w:val="00BF6444"/>
    <w:rsid w:val="00C04760"/>
    <w:rsid w:val="00C1020B"/>
    <w:rsid w:val="00C105A3"/>
    <w:rsid w:val="00C10706"/>
    <w:rsid w:val="00C11DE0"/>
    <w:rsid w:val="00C137EF"/>
    <w:rsid w:val="00C13EAC"/>
    <w:rsid w:val="00C1626B"/>
    <w:rsid w:val="00C203CC"/>
    <w:rsid w:val="00C22605"/>
    <w:rsid w:val="00C24882"/>
    <w:rsid w:val="00C24F8B"/>
    <w:rsid w:val="00C269B6"/>
    <w:rsid w:val="00C26BB6"/>
    <w:rsid w:val="00C30EF4"/>
    <w:rsid w:val="00C325F5"/>
    <w:rsid w:val="00C37C2F"/>
    <w:rsid w:val="00C40934"/>
    <w:rsid w:val="00C41F4E"/>
    <w:rsid w:val="00C453D4"/>
    <w:rsid w:val="00C462D6"/>
    <w:rsid w:val="00C46F64"/>
    <w:rsid w:val="00C47A3F"/>
    <w:rsid w:val="00C5063B"/>
    <w:rsid w:val="00C5120E"/>
    <w:rsid w:val="00C5177D"/>
    <w:rsid w:val="00C54881"/>
    <w:rsid w:val="00C56367"/>
    <w:rsid w:val="00C565EA"/>
    <w:rsid w:val="00C57246"/>
    <w:rsid w:val="00C6145E"/>
    <w:rsid w:val="00C62794"/>
    <w:rsid w:val="00C62974"/>
    <w:rsid w:val="00C63B59"/>
    <w:rsid w:val="00C7085D"/>
    <w:rsid w:val="00C71A2D"/>
    <w:rsid w:val="00C75DE4"/>
    <w:rsid w:val="00C771D5"/>
    <w:rsid w:val="00C80120"/>
    <w:rsid w:val="00C81E09"/>
    <w:rsid w:val="00C835FF"/>
    <w:rsid w:val="00C8467F"/>
    <w:rsid w:val="00C8475D"/>
    <w:rsid w:val="00C84C1D"/>
    <w:rsid w:val="00C90743"/>
    <w:rsid w:val="00C96270"/>
    <w:rsid w:val="00C974D2"/>
    <w:rsid w:val="00CA1141"/>
    <w:rsid w:val="00CA1BF3"/>
    <w:rsid w:val="00CA2157"/>
    <w:rsid w:val="00CA276A"/>
    <w:rsid w:val="00CA2D79"/>
    <w:rsid w:val="00CA32BF"/>
    <w:rsid w:val="00CA33BD"/>
    <w:rsid w:val="00CA4E25"/>
    <w:rsid w:val="00CB00D4"/>
    <w:rsid w:val="00CB106C"/>
    <w:rsid w:val="00CB2863"/>
    <w:rsid w:val="00CB37E1"/>
    <w:rsid w:val="00CB4DB2"/>
    <w:rsid w:val="00CB7629"/>
    <w:rsid w:val="00CC0760"/>
    <w:rsid w:val="00CC1E8C"/>
    <w:rsid w:val="00CC3BC5"/>
    <w:rsid w:val="00CC3E0A"/>
    <w:rsid w:val="00CC4BAA"/>
    <w:rsid w:val="00CD3D3C"/>
    <w:rsid w:val="00CD50A1"/>
    <w:rsid w:val="00CE06DD"/>
    <w:rsid w:val="00CE225D"/>
    <w:rsid w:val="00CE2F09"/>
    <w:rsid w:val="00CE4217"/>
    <w:rsid w:val="00CE4F50"/>
    <w:rsid w:val="00CE5C76"/>
    <w:rsid w:val="00CE5E98"/>
    <w:rsid w:val="00CE7D53"/>
    <w:rsid w:val="00CF2AA1"/>
    <w:rsid w:val="00CF483F"/>
    <w:rsid w:val="00CF52F7"/>
    <w:rsid w:val="00CF5BCE"/>
    <w:rsid w:val="00CF6BBE"/>
    <w:rsid w:val="00D0159D"/>
    <w:rsid w:val="00D042B1"/>
    <w:rsid w:val="00D04742"/>
    <w:rsid w:val="00D06912"/>
    <w:rsid w:val="00D07019"/>
    <w:rsid w:val="00D07FD2"/>
    <w:rsid w:val="00D10C07"/>
    <w:rsid w:val="00D10D5A"/>
    <w:rsid w:val="00D11A4F"/>
    <w:rsid w:val="00D140F7"/>
    <w:rsid w:val="00D14F8B"/>
    <w:rsid w:val="00D20EF4"/>
    <w:rsid w:val="00D23A3E"/>
    <w:rsid w:val="00D24E39"/>
    <w:rsid w:val="00D27F53"/>
    <w:rsid w:val="00D309FD"/>
    <w:rsid w:val="00D31453"/>
    <w:rsid w:val="00D315AB"/>
    <w:rsid w:val="00D321A7"/>
    <w:rsid w:val="00D3230C"/>
    <w:rsid w:val="00D348A6"/>
    <w:rsid w:val="00D35346"/>
    <w:rsid w:val="00D355F3"/>
    <w:rsid w:val="00D37AA2"/>
    <w:rsid w:val="00D4277A"/>
    <w:rsid w:val="00D43184"/>
    <w:rsid w:val="00D47AED"/>
    <w:rsid w:val="00D5028C"/>
    <w:rsid w:val="00D50692"/>
    <w:rsid w:val="00D51253"/>
    <w:rsid w:val="00D557C8"/>
    <w:rsid w:val="00D5704B"/>
    <w:rsid w:val="00D572F3"/>
    <w:rsid w:val="00D5794F"/>
    <w:rsid w:val="00D57F4E"/>
    <w:rsid w:val="00D61EEB"/>
    <w:rsid w:val="00D642D5"/>
    <w:rsid w:val="00D65F43"/>
    <w:rsid w:val="00D66DD6"/>
    <w:rsid w:val="00D71921"/>
    <w:rsid w:val="00D74E97"/>
    <w:rsid w:val="00D8249F"/>
    <w:rsid w:val="00D828FD"/>
    <w:rsid w:val="00D84878"/>
    <w:rsid w:val="00D86486"/>
    <w:rsid w:val="00D94CF5"/>
    <w:rsid w:val="00D94CF8"/>
    <w:rsid w:val="00D95617"/>
    <w:rsid w:val="00D967BB"/>
    <w:rsid w:val="00D96EB5"/>
    <w:rsid w:val="00DA2081"/>
    <w:rsid w:val="00DA5003"/>
    <w:rsid w:val="00DA67EF"/>
    <w:rsid w:val="00DA7500"/>
    <w:rsid w:val="00DB246E"/>
    <w:rsid w:val="00DB420A"/>
    <w:rsid w:val="00DC3B8B"/>
    <w:rsid w:val="00DC4F7D"/>
    <w:rsid w:val="00DC52DC"/>
    <w:rsid w:val="00DD1043"/>
    <w:rsid w:val="00DD28A5"/>
    <w:rsid w:val="00DD2A7D"/>
    <w:rsid w:val="00DD6132"/>
    <w:rsid w:val="00DD7392"/>
    <w:rsid w:val="00DE607A"/>
    <w:rsid w:val="00DE6B56"/>
    <w:rsid w:val="00DE7359"/>
    <w:rsid w:val="00DF0959"/>
    <w:rsid w:val="00DF161A"/>
    <w:rsid w:val="00DF54A2"/>
    <w:rsid w:val="00DF75FD"/>
    <w:rsid w:val="00DF7C78"/>
    <w:rsid w:val="00E0333A"/>
    <w:rsid w:val="00E03C08"/>
    <w:rsid w:val="00E05083"/>
    <w:rsid w:val="00E0682F"/>
    <w:rsid w:val="00E07BAF"/>
    <w:rsid w:val="00E07CAE"/>
    <w:rsid w:val="00E11259"/>
    <w:rsid w:val="00E11F62"/>
    <w:rsid w:val="00E12170"/>
    <w:rsid w:val="00E20A80"/>
    <w:rsid w:val="00E22AF6"/>
    <w:rsid w:val="00E22F89"/>
    <w:rsid w:val="00E24674"/>
    <w:rsid w:val="00E2500F"/>
    <w:rsid w:val="00E252EB"/>
    <w:rsid w:val="00E25ED1"/>
    <w:rsid w:val="00E27F8A"/>
    <w:rsid w:val="00E33EB3"/>
    <w:rsid w:val="00E34414"/>
    <w:rsid w:val="00E351EE"/>
    <w:rsid w:val="00E37B57"/>
    <w:rsid w:val="00E419CA"/>
    <w:rsid w:val="00E428BC"/>
    <w:rsid w:val="00E42911"/>
    <w:rsid w:val="00E43F70"/>
    <w:rsid w:val="00E45464"/>
    <w:rsid w:val="00E45DDD"/>
    <w:rsid w:val="00E470A4"/>
    <w:rsid w:val="00E475D8"/>
    <w:rsid w:val="00E4779A"/>
    <w:rsid w:val="00E533A9"/>
    <w:rsid w:val="00E56B83"/>
    <w:rsid w:val="00E60710"/>
    <w:rsid w:val="00E64C41"/>
    <w:rsid w:val="00E65F1F"/>
    <w:rsid w:val="00E66A67"/>
    <w:rsid w:val="00E67E06"/>
    <w:rsid w:val="00E7235F"/>
    <w:rsid w:val="00E72790"/>
    <w:rsid w:val="00E76AEB"/>
    <w:rsid w:val="00E8687F"/>
    <w:rsid w:val="00E91C65"/>
    <w:rsid w:val="00E9459B"/>
    <w:rsid w:val="00E95AA9"/>
    <w:rsid w:val="00E95EBB"/>
    <w:rsid w:val="00E961E9"/>
    <w:rsid w:val="00E96C22"/>
    <w:rsid w:val="00E977D0"/>
    <w:rsid w:val="00EA13E6"/>
    <w:rsid w:val="00EA1602"/>
    <w:rsid w:val="00EA327B"/>
    <w:rsid w:val="00EA40B2"/>
    <w:rsid w:val="00EA46D0"/>
    <w:rsid w:val="00EA559C"/>
    <w:rsid w:val="00EA5E90"/>
    <w:rsid w:val="00EA7B91"/>
    <w:rsid w:val="00EB4702"/>
    <w:rsid w:val="00EB4EAD"/>
    <w:rsid w:val="00EB6975"/>
    <w:rsid w:val="00EC169D"/>
    <w:rsid w:val="00EC1AAF"/>
    <w:rsid w:val="00EC3872"/>
    <w:rsid w:val="00EC47DB"/>
    <w:rsid w:val="00ED062A"/>
    <w:rsid w:val="00ED28AD"/>
    <w:rsid w:val="00ED3A09"/>
    <w:rsid w:val="00ED5A80"/>
    <w:rsid w:val="00ED72B5"/>
    <w:rsid w:val="00EE1AFB"/>
    <w:rsid w:val="00EE23A0"/>
    <w:rsid w:val="00EE3453"/>
    <w:rsid w:val="00EE49FB"/>
    <w:rsid w:val="00EE6349"/>
    <w:rsid w:val="00EE6622"/>
    <w:rsid w:val="00EE6F20"/>
    <w:rsid w:val="00EF0774"/>
    <w:rsid w:val="00EF1122"/>
    <w:rsid w:val="00EF1769"/>
    <w:rsid w:val="00EF212A"/>
    <w:rsid w:val="00EF2EF8"/>
    <w:rsid w:val="00EF3943"/>
    <w:rsid w:val="00EF4036"/>
    <w:rsid w:val="00EF41F2"/>
    <w:rsid w:val="00EF4FB7"/>
    <w:rsid w:val="00EF5F46"/>
    <w:rsid w:val="00EF71F6"/>
    <w:rsid w:val="00F01058"/>
    <w:rsid w:val="00F01164"/>
    <w:rsid w:val="00F04228"/>
    <w:rsid w:val="00F064F1"/>
    <w:rsid w:val="00F0672A"/>
    <w:rsid w:val="00F067E7"/>
    <w:rsid w:val="00F07BEE"/>
    <w:rsid w:val="00F13713"/>
    <w:rsid w:val="00F13E4F"/>
    <w:rsid w:val="00F14E1E"/>
    <w:rsid w:val="00F17A01"/>
    <w:rsid w:val="00F17D88"/>
    <w:rsid w:val="00F200A0"/>
    <w:rsid w:val="00F2069C"/>
    <w:rsid w:val="00F21534"/>
    <w:rsid w:val="00F217BB"/>
    <w:rsid w:val="00F228CC"/>
    <w:rsid w:val="00F2495C"/>
    <w:rsid w:val="00F24A98"/>
    <w:rsid w:val="00F24F29"/>
    <w:rsid w:val="00F31D95"/>
    <w:rsid w:val="00F347E6"/>
    <w:rsid w:val="00F34FA4"/>
    <w:rsid w:val="00F3534A"/>
    <w:rsid w:val="00F37DAD"/>
    <w:rsid w:val="00F404DF"/>
    <w:rsid w:val="00F40F13"/>
    <w:rsid w:val="00F41344"/>
    <w:rsid w:val="00F4668E"/>
    <w:rsid w:val="00F51433"/>
    <w:rsid w:val="00F51700"/>
    <w:rsid w:val="00F5264A"/>
    <w:rsid w:val="00F540A2"/>
    <w:rsid w:val="00F576BB"/>
    <w:rsid w:val="00F60413"/>
    <w:rsid w:val="00F61DF2"/>
    <w:rsid w:val="00F63B3B"/>
    <w:rsid w:val="00F673C3"/>
    <w:rsid w:val="00F7347C"/>
    <w:rsid w:val="00F74C2F"/>
    <w:rsid w:val="00F750E3"/>
    <w:rsid w:val="00F7559F"/>
    <w:rsid w:val="00F7630A"/>
    <w:rsid w:val="00F764E8"/>
    <w:rsid w:val="00F76A60"/>
    <w:rsid w:val="00F76DBD"/>
    <w:rsid w:val="00F77AF9"/>
    <w:rsid w:val="00F80E29"/>
    <w:rsid w:val="00F83532"/>
    <w:rsid w:val="00F87182"/>
    <w:rsid w:val="00F87F90"/>
    <w:rsid w:val="00F920D8"/>
    <w:rsid w:val="00F954DD"/>
    <w:rsid w:val="00F97179"/>
    <w:rsid w:val="00FA1424"/>
    <w:rsid w:val="00FA19B2"/>
    <w:rsid w:val="00FA24D0"/>
    <w:rsid w:val="00FA39AB"/>
    <w:rsid w:val="00FA5BC2"/>
    <w:rsid w:val="00FA642C"/>
    <w:rsid w:val="00FB0F94"/>
    <w:rsid w:val="00FB3D51"/>
    <w:rsid w:val="00FB49B3"/>
    <w:rsid w:val="00FC2213"/>
    <w:rsid w:val="00FC6F21"/>
    <w:rsid w:val="00FD098C"/>
    <w:rsid w:val="00FD22CD"/>
    <w:rsid w:val="00FD4A57"/>
    <w:rsid w:val="00FD59FE"/>
    <w:rsid w:val="00FE07E3"/>
    <w:rsid w:val="00FE0CA8"/>
    <w:rsid w:val="00FE16FE"/>
    <w:rsid w:val="00FE2DC5"/>
    <w:rsid w:val="00FE2DDD"/>
    <w:rsid w:val="00FE3973"/>
    <w:rsid w:val="00FE41A5"/>
    <w:rsid w:val="00FE41AD"/>
    <w:rsid w:val="00FE4B63"/>
    <w:rsid w:val="00FE4E97"/>
    <w:rsid w:val="00FE7E28"/>
    <w:rsid w:val="00FF0224"/>
    <w:rsid w:val="00FF159C"/>
    <w:rsid w:val="00FF3446"/>
    <w:rsid w:val="00FF3FFD"/>
    <w:rsid w:val="00FF44D0"/>
    <w:rsid w:val="00FF4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12"/>
  </w:style>
  <w:style w:type="paragraph" w:styleId="Heading2">
    <w:name w:val="heading 2"/>
    <w:basedOn w:val="Normal"/>
    <w:link w:val="Heading2Char"/>
    <w:uiPriority w:val="9"/>
    <w:qFormat/>
    <w:rsid w:val="00F07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181"/>
    <w:rPr>
      <w:strike w:val="0"/>
      <w:dstrike w:val="0"/>
      <w:color w:val="0072C6"/>
      <w:u w:val="none"/>
      <w:effect w:val="none"/>
    </w:rPr>
  </w:style>
  <w:style w:type="character" w:styleId="Strong">
    <w:name w:val="Strong"/>
    <w:basedOn w:val="DefaultParagraphFont"/>
    <w:uiPriority w:val="22"/>
    <w:qFormat/>
    <w:rsid w:val="00425181"/>
    <w:rPr>
      <w:b/>
      <w:bCs/>
    </w:rPr>
  </w:style>
  <w:style w:type="paragraph" w:styleId="NormalWeb">
    <w:name w:val="Normal (Web)"/>
    <w:basedOn w:val="Normal"/>
    <w:uiPriority w:val="99"/>
    <w:semiHidden/>
    <w:unhideWhenUsed/>
    <w:rsid w:val="00425181"/>
    <w:pPr>
      <w:spacing w:after="324" w:line="240" w:lineRule="auto"/>
    </w:pPr>
    <w:rPr>
      <w:rFonts w:ascii="Times New Roman" w:eastAsia="Times New Roman" w:hAnsi="Times New Roman" w:cs="Times New Roman"/>
      <w:sz w:val="24"/>
      <w:szCs w:val="24"/>
    </w:rPr>
  </w:style>
  <w:style w:type="paragraph" w:customStyle="1" w:styleId="Default">
    <w:name w:val="Default"/>
    <w:rsid w:val="00B9222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F07BEE"/>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25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881333">
      <w:bodyDiv w:val="1"/>
      <w:marLeft w:val="0"/>
      <w:marRight w:val="0"/>
      <w:marTop w:val="0"/>
      <w:marBottom w:val="0"/>
      <w:divBdr>
        <w:top w:val="none" w:sz="0" w:space="0" w:color="auto"/>
        <w:left w:val="none" w:sz="0" w:space="0" w:color="auto"/>
        <w:bottom w:val="none" w:sz="0" w:space="0" w:color="auto"/>
        <w:right w:val="none" w:sz="0" w:space="0" w:color="auto"/>
      </w:divBdr>
      <w:divsChild>
        <w:div w:id="543181143">
          <w:marLeft w:val="0"/>
          <w:marRight w:val="0"/>
          <w:marTop w:val="0"/>
          <w:marBottom w:val="0"/>
          <w:divBdr>
            <w:top w:val="single" w:sz="2" w:space="0" w:color="333333"/>
            <w:left w:val="none" w:sz="0" w:space="0" w:color="auto"/>
            <w:bottom w:val="none" w:sz="0" w:space="0" w:color="auto"/>
            <w:right w:val="none" w:sz="0" w:space="0" w:color="auto"/>
          </w:divBdr>
          <w:divsChild>
            <w:div w:id="1709913823">
              <w:marLeft w:val="0"/>
              <w:marRight w:val="0"/>
              <w:marTop w:val="0"/>
              <w:marBottom w:val="0"/>
              <w:divBdr>
                <w:top w:val="none" w:sz="0" w:space="0" w:color="auto"/>
                <w:left w:val="none" w:sz="0" w:space="0" w:color="auto"/>
                <w:bottom w:val="single" w:sz="2" w:space="0" w:color="333333"/>
                <w:right w:val="none" w:sz="0" w:space="0" w:color="auto"/>
              </w:divBdr>
              <w:divsChild>
                <w:div w:id="460850402">
                  <w:marLeft w:val="0"/>
                  <w:marRight w:val="0"/>
                  <w:marTop w:val="0"/>
                  <w:marBottom w:val="0"/>
                  <w:divBdr>
                    <w:top w:val="none" w:sz="0" w:space="0" w:color="auto"/>
                    <w:left w:val="none" w:sz="0" w:space="0" w:color="auto"/>
                    <w:bottom w:val="none" w:sz="0" w:space="0" w:color="auto"/>
                    <w:right w:val="none" w:sz="0" w:space="0" w:color="auto"/>
                  </w:divBdr>
                  <w:divsChild>
                    <w:div w:id="367143639">
                      <w:marLeft w:val="0"/>
                      <w:marRight w:val="0"/>
                      <w:marTop w:val="0"/>
                      <w:marBottom w:val="0"/>
                      <w:divBdr>
                        <w:top w:val="none" w:sz="0" w:space="0" w:color="auto"/>
                        <w:left w:val="none" w:sz="0" w:space="0" w:color="auto"/>
                        <w:bottom w:val="none" w:sz="0" w:space="0" w:color="auto"/>
                        <w:right w:val="none" w:sz="0" w:space="0" w:color="auto"/>
                      </w:divBdr>
                      <w:divsChild>
                        <w:div w:id="287248689">
                          <w:marLeft w:val="0"/>
                          <w:marRight w:val="0"/>
                          <w:marTop w:val="0"/>
                          <w:marBottom w:val="0"/>
                          <w:divBdr>
                            <w:top w:val="none" w:sz="0" w:space="0" w:color="auto"/>
                            <w:left w:val="none" w:sz="0" w:space="0" w:color="auto"/>
                            <w:bottom w:val="none" w:sz="0" w:space="0" w:color="auto"/>
                            <w:right w:val="none" w:sz="0" w:space="0" w:color="auto"/>
                          </w:divBdr>
                          <w:divsChild>
                            <w:div w:id="3231016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88086">
      <w:bodyDiv w:val="1"/>
      <w:marLeft w:val="0"/>
      <w:marRight w:val="0"/>
      <w:marTop w:val="0"/>
      <w:marBottom w:val="0"/>
      <w:divBdr>
        <w:top w:val="none" w:sz="0" w:space="0" w:color="auto"/>
        <w:left w:val="none" w:sz="0" w:space="0" w:color="auto"/>
        <w:bottom w:val="none" w:sz="0" w:space="0" w:color="auto"/>
        <w:right w:val="none" w:sz="0" w:space="0" w:color="auto"/>
      </w:divBdr>
      <w:divsChild>
        <w:div w:id="1374160434">
          <w:marLeft w:val="0"/>
          <w:marRight w:val="0"/>
          <w:marTop w:val="0"/>
          <w:marBottom w:val="0"/>
          <w:divBdr>
            <w:top w:val="single" w:sz="2" w:space="0" w:color="333333"/>
            <w:left w:val="none" w:sz="0" w:space="0" w:color="auto"/>
            <w:bottom w:val="none" w:sz="0" w:space="0" w:color="auto"/>
            <w:right w:val="none" w:sz="0" w:space="0" w:color="auto"/>
          </w:divBdr>
          <w:divsChild>
            <w:div w:id="985474206">
              <w:marLeft w:val="0"/>
              <w:marRight w:val="0"/>
              <w:marTop w:val="0"/>
              <w:marBottom w:val="0"/>
              <w:divBdr>
                <w:top w:val="none" w:sz="0" w:space="0" w:color="auto"/>
                <w:left w:val="none" w:sz="0" w:space="0" w:color="auto"/>
                <w:bottom w:val="single" w:sz="2" w:space="0" w:color="333333"/>
                <w:right w:val="none" w:sz="0" w:space="0" w:color="auto"/>
              </w:divBdr>
              <w:divsChild>
                <w:div w:id="28187861">
                  <w:marLeft w:val="0"/>
                  <w:marRight w:val="0"/>
                  <w:marTop w:val="0"/>
                  <w:marBottom w:val="0"/>
                  <w:divBdr>
                    <w:top w:val="none" w:sz="0" w:space="0" w:color="auto"/>
                    <w:left w:val="none" w:sz="0" w:space="0" w:color="auto"/>
                    <w:bottom w:val="none" w:sz="0" w:space="0" w:color="auto"/>
                    <w:right w:val="none" w:sz="0" w:space="0" w:color="auto"/>
                  </w:divBdr>
                  <w:divsChild>
                    <w:div w:id="1381435566">
                      <w:marLeft w:val="0"/>
                      <w:marRight w:val="0"/>
                      <w:marTop w:val="0"/>
                      <w:marBottom w:val="0"/>
                      <w:divBdr>
                        <w:top w:val="none" w:sz="0" w:space="0" w:color="auto"/>
                        <w:left w:val="none" w:sz="0" w:space="0" w:color="auto"/>
                        <w:bottom w:val="none" w:sz="0" w:space="0" w:color="auto"/>
                        <w:right w:val="none" w:sz="0" w:space="0" w:color="auto"/>
                      </w:divBdr>
                      <w:divsChild>
                        <w:div w:id="181211136">
                          <w:marLeft w:val="0"/>
                          <w:marRight w:val="0"/>
                          <w:marTop w:val="0"/>
                          <w:marBottom w:val="0"/>
                          <w:divBdr>
                            <w:top w:val="none" w:sz="0" w:space="0" w:color="auto"/>
                            <w:left w:val="none" w:sz="0" w:space="0" w:color="auto"/>
                            <w:bottom w:val="none" w:sz="0" w:space="0" w:color="auto"/>
                            <w:right w:val="none" w:sz="0" w:space="0" w:color="auto"/>
                          </w:divBdr>
                          <w:divsChild>
                            <w:div w:id="22899910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06614">
      <w:bodyDiv w:val="1"/>
      <w:marLeft w:val="0"/>
      <w:marRight w:val="0"/>
      <w:marTop w:val="0"/>
      <w:marBottom w:val="0"/>
      <w:divBdr>
        <w:top w:val="none" w:sz="0" w:space="0" w:color="auto"/>
        <w:left w:val="none" w:sz="0" w:space="0" w:color="auto"/>
        <w:bottom w:val="none" w:sz="0" w:space="0" w:color="auto"/>
        <w:right w:val="none" w:sz="0" w:space="0" w:color="auto"/>
      </w:divBdr>
      <w:divsChild>
        <w:div w:id="21635326">
          <w:marLeft w:val="0"/>
          <w:marRight w:val="0"/>
          <w:marTop w:val="0"/>
          <w:marBottom w:val="0"/>
          <w:divBdr>
            <w:top w:val="single" w:sz="2" w:space="0" w:color="333333"/>
            <w:left w:val="none" w:sz="0" w:space="0" w:color="auto"/>
            <w:bottom w:val="none" w:sz="0" w:space="0" w:color="auto"/>
            <w:right w:val="none" w:sz="0" w:space="0" w:color="auto"/>
          </w:divBdr>
          <w:divsChild>
            <w:div w:id="2066486186">
              <w:marLeft w:val="0"/>
              <w:marRight w:val="0"/>
              <w:marTop w:val="0"/>
              <w:marBottom w:val="0"/>
              <w:divBdr>
                <w:top w:val="none" w:sz="0" w:space="0" w:color="auto"/>
                <w:left w:val="none" w:sz="0" w:space="0" w:color="auto"/>
                <w:bottom w:val="single" w:sz="2" w:space="0" w:color="333333"/>
                <w:right w:val="none" w:sz="0" w:space="0" w:color="auto"/>
              </w:divBdr>
              <w:divsChild>
                <w:div w:id="1395547282">
                  <w:marLeft w:val="0"/>
                  <w:marRight w:val="0"/>
                  <w:marTop w:val="0"/>
                  <w:marBottom w:val="0"/>
                  <w:divBdr>
                    <w:top w:val="none" w:sz="0" w:space="0" w:color="auto"/>
                    <w:left w:val="none" w:sz="0" w:space="0" w:color="auto"/>
                    <w:bottom w:val="none" w:sz="0" w:space="0" w:color="auto"/>
                    <w:right w:val="none" w:sz="0" w:space="0" w:color="auto"/>
                  </w:divBdr>
                  <w:divsChild>
                    <w:div w:id="1877808655">
                      <w:marLeft w:val="0"/>
                      <w:marRight w:val="0"/>
                      <w:marTop w:val="0"/>
                      <w:marBottom w:val="0"/>
                      <w:divBdr>
                        <w:top w:val="none" w:sz="0" w:space="0" w:color="auto"/>
                        <w:left w:val="none" w:sz="0" w:space="0" w:color="auto"/>
                        <w:bottom w:val="none" w:sz="0" w:space="0" w:color="auto"/>
                        <w:right w:val="none" w:sz="0" w:space="0" w:color="auto"/>
                      </w:divBdr>
                      <w:divsChild>
                        <w:div w:id="731149742">
                          <w:marLeft w:val="0"/>
                          <w:marRight w:val="0"/>
                          <w:marTop w:val="0"/>
                          <w:marBottom w:val="0"/>
                          <w:divBdr>
                            <w:top w:val="none" w:sz="0" w:space="0" w:color="auto"/>
                            <w:left w:val="none" w:sz="0" w:space="0" w:color="auto"/>
                            <w:bottom w:val="none" w:sz="0" w:space="0" w:color="auto"/>
                            <w:right w:val="none" w:sz="0" w:space="0" w:color="auto"/>
                          </w:divBdr>
                          <w:divsChild>
                            <w:div w:id="634724025">
                              <w:marLeft w:val="525"/>
                              <w:marRight w:val="0"/>
                              <w:marTop w:val="0"/>
                              <w:marBottom w:val="0"/>
                              <w:divBdr>
                                <w:top w:val="none" w:sz="0" w:space="0" w:color="auto"/>
                                <w:left w:val="none" w:sz="0" w:space="0" w:color="auto"/>
                                <w:bottom w:val="none" w:sz="0" w:space="0" w:color="auto"/>
                                <w:right w:val="none" w:sz="0" w:space="0" w:color="auto"/>
                              </w:divBdr>
                            </w:div>
                          </w:divsChild>
                        </w:div>
                        <w:div w:id="1725565665">
                          <w:marLeft w:val="0"/>
                          <w:marRight w:val="0"/>
                          <w:marTop w:val="0"/>
                          <w:marBottom w:val="0"/>
                          <w:divBdr>
                            <w:top w:val="none" w:sz="0" w:space="0" w:color="auto"/>
                            <w:left w:val="none" w:sz="0" w:space="0" w:color="auto"/>
                            <w:bottom w:val="none" w:sz="0" w:space="0" w:color="auto"/>
                            <w:right w:val="none" w:sz="0" w:space="0" w:color="auto"/>
                          </w:divBdr>
                          <w:divsChild>
                            <w:div w:id="467745185">
                              <w:marLeft w:val="0"/>
                              <w:marRight w:val="0"/>
                              <w:marTop w:val="0"/>
                              <w:marBottom w:val="0"/>
                              <w:divBdr>
                                <w:top w:val="none" w:sz="0" w:space="0" w:color="auto"/>
                                <w:left w:val="none" w:sz="0" w:space="0" w:color="auto"/>
                                <w:bottom w:val="none" w:sz="0" w:space="0" w:color="auto"/>
                                <w:right w:val="none" w:sz="0" w:space="0" w:color="auto"/>
                              </w:divBdr>
                              <w:divsChild>
                                <w:div w:id="972757810">
                                  <w:marLeft w:val="338"/>
                                  <w:marRight w:val="0"/>
                                  <w:marTop w:val="0"/>
                                  <w:marBottom w:val="0"/>
                                  <w:divBdr>
                                    <w:top w:val="none" w:sz="0" w:space="0" w:color="auto"/>
                                    <w:left w:val="none" w:sz="0" w:space="0" w:color="auto"/>
                                    <w:bottom w:val="none" w:sz="0" w:space="0" w:color="auto"/>
                                    <w:right w:val="none" w:sz="0" w:space="0" w:color="auto"/>
                                  </w:divBdr>
                                </w:div>
                                <w:div w:id="1854031497">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81893">
      <w:bodyDiv w:val="1"/>
      <w:marLeft w:val="0"/>
      <w:marRight w:val="0"/>
      <w:marTop w:val="0"/>
      <w:marBottom w:val="0"/>
      <w:divBdr>
        <w:top w:val="none" w:sz="0" w:space="0" w:color="auto"/>
        <w:left w:val="none" w:sz="0" w:space="0" w:color="auto"/>
        <w:bottom w:val="none" w:sz="0" w:space="0" w:color="auto"/>
        <w:right w:val="none" w:sz="0" w:space="0" w:color="auto"/>
      </w:divBdr>
      <w:divsChild>
        <w:div w:id="2031298048">
          <w:marLeft w:val="0"/>
          <w:marRight w:val="0"/>
          <w:marTop w:val="0"/>
          <w:marBottom w:val="0"/>
          <w:divBdr>
            <w:top w:val="single" w:sz="2" w:space="0" w:color="333333"/>
            <w:left w:val="none" w:sz="0" w:space="0" w:color="auto"/>
            <w:bottom w:val="none" w:sz="0" w:space="0" w:color="auto"/>
            <w:right w:val="none" w:sz="0" w:space="0" w:color="auto"/>
          </w:divBdr>
          <w:divsChild>
            <w:div w:id="492376058">
              <w:marLeft w:val="0"/>
              <w:marRight w:val="0"/>
              <w:marTop w:val="0"/>
              <w:marBottom w:val="0"/>
              <w:divBdr>
                <w:top w:val="none" w:sz="0" w:space="0" w:color="auto"/>
                <w:left w:val="none" w:sz="0" w:space="0" w:color="auto"/>
                <w:bottom w:val="single" w:sz="2" w:space="0" w:color="333333"/>
                <w:right w:val="none" w:sz="0" w:space="0" w:color="auto"/>
              </w:divBdr>
              <w:divsChild>
                <w:div w:id="184052964">
                  <w:marLeft w:val="0"/>
                  <w:marRight w:val="0"/>
                  <w:marTop w:val="0"/>
                  <w:marBottom w:val="0"/>
                  <w:divBdr>
                    <w:top w:val="none" w:sz="0" w:space="0" w:color="auto"/>
                    <w:left w:val="none" w:sz="0" w:space="0" w:color="auto"/>
                    <w:bottom w:val="none" w:sz="0" w:space="0" w:color="auto"/>
                    <w:right w:val="none" w:sz="0" w:space="0" w:color="auto"/>
                  </w:divBdr>
                  <w:divsChild>
                    <w:div w:id="1103692847">
                      <w:marLeft w:val="0"/>
                      <w:marRight w:val="0"/>
                      <w:marTop w:val="0"/>
                      <w:marBottom w:val="0"/>
                      <w:divBdr>
                        <w:top w:val="none" w:sz="0" w:space="0" w:color="auto"/>
                        <w:left w:val="none" w:sz="0" w:space="0" w:color="auto"/>
                        <w:bottom w:val="none" w:sz="0" w:space="0" w:color="auto"/>
                        <w:right w:val="none" w:sz="0" w:space="0" w:color="auto"/>
                      </w:divBdr>
                      <w:divsChild>
                        <w:div w:id="66609811">
                          <w:marLeft w:val="0"/>
                          <w:marRight w:val="0"/>
                          <w:marTop w:val="0"/>
                          <w:marBottom w:val="0"/>
                          <w:divBdr>
                            <w:top w:val="none" w:sz="0" w:space="0" w:color="auto"/>
                            <w:left w:val="none" w:sz="0" w:space="0" w:color="auto"/>
                            <w:bottom w:val="none" w:sz="0" w:space="0" w:color="auto"/>
                            <w:right w:val="none" w:sz="0" w:space="0" w:color="auto"/>
                          </w:divBdr>
                        </w:div>
                        <w:div w:id="2141217047">
                          <w:marLeft w:val="0"/>
                          <w:marRight w:val="0"/>
                          <w:marTop w:val="0"/>
                          <w:marBottom w:val="0"/>
                          <w:divBdr>
                            <w:top w:val="none" w:sz="0" w:space="0" w:color="auto"/>
                            <w:left w:val="none" w:sz="0" w:space="0" w:color="auto"/>
                            <w:bottom w:val="none" w:sz="0" w:space="0" w:color="auto"/>
                            <w:right w:val="none" w:sz="0" w:space="0" w:color="auto"/>
                          </w:divBdr>
                          <w:divsChild>
                            <w:div w:id="230576497">
                              <w:marLeft w:val="0"/>
                              <w:marRight w:val="0"/>
                              <w:marTop w:val="0"/>
                              <w:marBottom w:val="0"/>
                              <w:divBdr>
                                <w:top w:val="none" w:sz="0" w:space="0" w:color="auto"/>
                                <w:left w:val="none" w:sz="0" w:space="0" w:color="auto"/>
                                <w:bottom w:val="none" w:sz="0" w:space="0" w:color="auto"/>
                                <w:right w:val="none" w:sz="0" w:space="0" w:color="auto"/>
                              </w:divBdr>
                              <w:divsChild>
                                <w:div w:id="1438519638">
                                  <w:marLeft w:val="338"/>
                                  <w:marRight w:val="0"/>
                                  <w:marTop w:val="0"/>
                                  <w:marBottom w:val="0"/>
                                  <w:divBdr>
                                    <w:top w:val="none" w:sz="0" w:space="0" w:color="auto"/>
                                    <w:left w:val="none" w:sz="0" w:space="0" w:color="auto"/>
                                    <w:bottom w:val="none" w:sz="0" w:space="0" w:color="auto"/>
                                    <w:right w:val="none" w:sz="0" w:space="0" w:color="auto"/>
                                  </w:divBdr>
                                </w:div>
                                <w:div w:id="805241943">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194374">
      <w:bodyDiv w:val="1"/>
      <w:marLeft w:val="0"/>
      <w:marRight w:val="0"/>
      <w:marTop w:val="0"/>
      <w:marBottom w:val="0"/>
      <w:divBdr>
        <w:top w:val="none" w:sz="0" w:space="0" w:color="auto"/>
        <w:left w:val="none" w:sz="0" w:space="0" w:color="auto"/>
        <w:bottom w:val="none" w:sz="0" w:space="0" w:color="auto"/>
        <w:right w:val="none" w:sz="0" w:space="0" w:color="auto"/>
      </w:divBdr>
      <w:divsChild>
        <w:div w:id="1958175931">
          <w:marLeft w:val="0"/>
          <w:marRight w:val="0"/>
          <w:marTop w:val="0"/>
          <w:marBottom w:val="0"/>
          <w:divBdr>
            <w:top w:val="single" w:sz="2" w:space="0" w:color="333333"/>
            <w:left w:val="none" w:sz="0" w:space="0" w:color="auto"/>
            <w:bottom w:val="none" w:sz="0" w:space="0" w:color="auto"/>
            <w:right w:val="none" w:sz="0" w:space="0" w:color="auto"/>
          </w:divBdr>
          <w:divsChild>
            <w:div w:id="1276207898">
              <w:marLeft w:val="0"/>
              <w:marRight w:val="0"/>
              <w:marTop w:val="0"/>
              <w:marBottom w:val="0"/>
              <w:divBdr>
                <w:top w:val="none" w:sz="0" w:space="0" w:color="auto"/>
                <w:left w:val="none" w:sz="0" w:space="0" w:color="auto"/>
                <w:bottom w:val="single" w:sz="2" w:space="0" w:color="333333"/>
                <w:right w:val="none" w:sz="0" w:space="0" w:color="auto"/>
              </w:divBdr>
              <w:divsChild>
                <w:div w:id="142351894">
                  <w:marLeft w:val="0"/>
                  <w:marRight w:val="0"/>
                  <w:marTop w:val="0"/>
                  <w:marBottom w:val="0"/>
                  <w:divBdr>
                    <w:top w:val="none" w:sz="0" w:space="0" w:color="auto"/>
                    <w:left w:val="none" w:sz="0" w:space="0" w:color="auto"/>
                    <w:bottom w:val="none" w:sz="0" w:space="0" w:color="auto"/>
                    <w:right w:val="none" w:sz="0" w:space="0" w:color="auto"/>
                  </w:divBdr>
                  <w:divsChild>
                    <w:div w:id="1833908485">
                      <w:marLeft w:val="0"/>
                      <w:marRight w:val="0"/>
                      <w:marTop w:val="0"/>
                      <w:marBottom w:val="0"/>
                      <w:divBdr>
                        <w:top w:val="none" w:sz="0" w:space="0" w:color="auto"/>
                        <w:left w:val="none" w:sz="0" w:space="0" w:color="auto"/>
                        <w:bottom w:val="none" w:sz="0" w:space="0" w:color="auto"/>
                        <w:right w:val="none" w:sz="0" w:space="0" w:color="auto"/>
                      </w:divBdr>
                      <w:divsChild>
                        <w:div w:id="1947930601">
                          <w:marLeft w:val="0"/>
                          <w:marRight w:val="0"/>
                          <w:marTop w:val="0"/>
                          <w:marBottom w:val="0"/>
                          <w:divBdr>
                            <w:top w:val="none" w:sz="0" w:space="0" w:color="auto"/>
                            <w:left w:val="none" w:sz="0" w:space="0" w:color="auto"/>
                            <w:bottom w:val="none" w:sz="0" w:space="0" w:color="auto"/>
                            <w:right w:val="none" w:sz="0" w:space="0" w:color="auto"/>
                          </w:divBdr>
                          <w:divsChild>
                            <w:div w:id="8988587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84596">
      <w:bodyDiv w:val="1"/>
      <w:marLeft w:val="0"/>
      <w:marRight w:val="0"/>
      <w:marTop w:val="0"/>
      <w:marBottom w:val="0"/>
      <w:divBdr>
        <w:top w:val="none" w:sz="0" w:space="0" w:color="auto"/>
        <w:left w:val="none" w:sz="0" w:space="0" w:color="auto"/>
        <w:bottom w:val="none" w:sz="0" w:space="0" w:color="auto"/>
        <w:right w:val="none" w:sz="0" w:space="0" w:color="auto"/>
      </w:divBdr>
      <w:divsChild>
        <w:div w:id="1955015186">
          <w:marLeft w:val="0"/>
          <w:marRight w:val="0"/>
          <w:marTop w:val="0"/>
          <w:marBottom w:val="0"/>
          <w:divBdr>
            <w:top w:val="none" w:sz="0" w:space="0" w:color="auto"/>
            <w:left w:val="none" w:sz="0" w:space="0" w:color="auto"/>
            <w:bottom w:val="none" w:sz="0" w:space="0" w:color="auto"/>
            <w:right w:val="none" w:sz="0" w:space="0" w:color="auto"/>
          </w:divBdr>
          <w:divsChild>
            <w:div w:id="1019507883">
              <w:marLeft w:val="0"/>
              <w:marRight w:val="0"/>
              <w:marTop w:val="0"/>
              <w:marBottom w:val="0"/>
              <w:divBdr>
                <w:top w:val="none" w:sz="0" w:space="0" w:color="auto"/>
                <w:left w:val="none" w:sz="0" w:space="0" w:color="auto"/>
                <w:bottom w:val="none" w:sz="0" w:space="0" w:color="auto"/>
                <w:right w:val="none" w:sz="0" w:space="0" w:color="auto"/>
              </w:divBdr>
              <w:divsChild>
                <w:div w:id="1017270279">
                  <w:marLeft w:val="0"/>
                  <w:marRight w:val="0"/>
                  <w:marTop w:val="0"/>
                  <w:marBottom w:val="0"/>
                  <w:divBdr>
                    <w:top w:val="none" w:sz="0" w:space="0" w:color="auto"/>
                    <w:left w:val="none" w:sz="0" w:space="0" w:color="auto"/>
                    <w:bottom w:val="none" w:sz="0" w:space="0" w:color="auto"/>
                    <w:right w:val="none" w:sz="0" w:space="0" w:color="auto"/>
                  </w:divBdr>
                  <w:divsChild>
                    <w:div w:id="1975256112">
                      <w:marLeft w:val="0"/>
                      <w:marRight w:val="0"/>
                      <w:marTop w:val="0"/>
                      <w:marBottom w:val="0"/>
                      <w:divBdr>
                        <w:top w:val="none" w:sz="0" w:space="0" w:color="auto"/>
                        <w:left w:val="none" w:sz="0" w:space="0" w:color="auto"/>
                        <w:bottom w:val="none" w:sz="0" w:space="0" w:color="auto"/>
                        <w:right w:val="none" w:sz="0" w:space="0" w:color="auto"/>
                      </w:divBdr>
                      <w:divsChild>
                        <w:div w:id="308943380">
                          <w:marLeft w:val="0"/>
                          <w:marRight w:val="0"/>
                          <w:marTop w:val="0"/>
                          <w:marBottom w:val="0"/>
                          <w:divBdr>
                            <w:top w:val="none" w:sz="0" w:space="0" w:color="auto"/>
                            <w:left w:val="none" w:sz="0" w:space="0" w:color="auto"/>
                            <w:bottom w:val="none" w:sz="0" w:space="0" w:color="auto"/>
                            <w:right w:val="none" w:sz="0" w:space="0" w:color="auto"/>
                          </w:divBdr>
                          <w:divsChild>
                            <w:div w:id="277568075">
                              <w:marLeft w:val="0"/>
                              <w:marRight w:val="0"/>
                              <w:marTop w:val="0"/>
                              <w:marBottom w:val="0"/>
                              <w:divBdr>
                                <w:top w:val="none" w:sz="0" w:space="0" w:color="auto"/>
                                <w:left w:val="none" w:sz="0" w:space="0" w:color="auto"/>
                                <w:bottom w:val="none" w:sz="0" w:space="0" w:color="auto"/>
                                <w:right w:val="none" w:sz="0" w:space="0" w:color="auto"/>
                              </w:divBdr>
                              <w:divsChild>
                                <w:div w:id="828836188">
                                  <w:marLeft w:val="0"/>
                                  <w:marRight w:val="0"/>
                                  <w:marTop w:val="0"/>
                                  <w:marBottom w:val="0"/>
                                  <w:divBdr>
                                    <w:top w:val="none" w:sz="0" w:space="0" w:color="auto"/>
                                    <w:left w:val="none" w:sz="0" w:space="0" w:color="auto"/>
                                    <w:bottom w:val="none" w:sz="0" w:space="0" w:color="auto"/>
                                    <w:right w:val="none" w:sz="0" w:space="0" w:color="auto"/>
                                  </w:divBdr>
                                  <w:divsChild>
                                    <w:div w:id="3803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y.investopedia.com/q.aspx?s=rsp" TargetMode="External"/><Relationship Id="rId5" Type="http://schemas.openxmlformats.org/officeDocument/2006/relationships/image" Target="media/image1.jpeg"/><Relationship Id="rId4" Type="http://schemas.openxmlformats.org/officeDocument/2006/relationships/hyperlink" Target="http://www.google.com/imgres?um=1&amp;sa=N&amp;biw=1280&amp;bih=641&amp;hl=en&amp;tbm=isch&amp;tbnid=Ec2FpF2RBLzMRM:&amp;imgrefurl=http://www.prepaidmvno.com/2011/06/03/elephant-talk-and-mobile-wallets-the-next-trillion-dollar-revolution-seeking-alpha/&amp;docid=1vOui2Iqg1qYCM&amp;imgurl=http://www.prepaidmvno.com/wp-content/uploads/2011/06/seekingalpha.png&amp;w=300&amp;h=188&amp;ei=WEAKUsSLHrCQyQGVh4DoDg&amp;zoom=1&amp;ved=1t:3588,r:11,s:0,i:121&amp;iact=rc&amp;page=2&amp;tbnh=150&amp;tbnw=240&amp;start=10&amp;ndsp=15&amp;tx=213&amp;ty=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112</cp:revision>
  <dcterms:created xsi:type="dcterms:W3CDTF">2014-09-24T21:23:00Z</dcterms:created>
  <dcterms:modified xsi:type="dcterms:W3CDTF">2015-06-06T14:30:00Z</dcterms:modified>
</cp:coreProperties>
</file>