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1" w:rsidRDefault="00516321" w:rsidP="00516321">
      <w:pPr>
        <w:spacing w:after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  <w:r w:rsidRPr="00F011AC">
        <w:rPr>
          <w:rFonts w:ascii="Arial" w:hAnsi="Arial" w:cs="Arial"/>
          <w:i/>
          <w:noProof/>
          <w:color w:val="0000FF"/>
          <w:sz w:val="44"/>
          <w:szCs w:val="44"/>
          <w:shd w:val="clear" w:color="auto" w:fill="CCCCC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-58420</wp:posOffset>
            </wp:positionV>
            <wp:extent cx="2632710" cy="1454150"/>
            <wp:effectExtent l="19050" t="0" r="0" b="0"/>
            <wp:wrapTight wrapText="bothSides">
              <wp:wrapPolygon edited="0">
                <wp:start x="-156" y="0"/>
                <wp:lineTo x="-156" y="21223"/>
                <wp:lineTo x="21569" y="21223"/>
                <wp:lineTo x="21569" y="0"/>
                <wp:lineTo x="-156" y="0"/>
              </wp:wrapPolygon>
            </wp:wrapTight>
            <wp:docPr id="1" name="Picture 1" descr="https://encrypted-tbn1.gstatic.com/images?q=tbn:ANd9GcQdk91seLMaKhu7eSmT1twLMafwH8TxDmzbAzFxPxQ_A2BSLZdV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dk91seLMaKhu7eSmT1twLMafwH8TxDmzbAzFxPxQ_A2BSLZdVG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 xml:space="preserve"> </w:t>
      </w:r>
    </w:p>
    <w:p w:rsidR="00516321" w:rsidRPr="00F011AC" w:rsidRDefault="003E5FF4" w:rsidP="00516321">
      <w:pPr>
        <w:spacing w:after="0"/>
        <w:rPr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>Defensive Income Strategies for Rising Rates &amp; Bond Outflow Rotation</w:t>
      </w:r>
    </w:p>
    <w:p w:rsidR="00516321" w:rsidRDefault="00516321">
      <w:pPr>
        <w:rPr>
          <w:b/>
          <w:sz w:val="28"/>
          <w:szCs w:val="28"/>
        </w:rPr>
      </w:pPr>
    </w:p>
    <w:p w:rsidR="00516321" w:rsidRDefault="00516321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Authored </w:t>
      </w:r>
      <w:r w:rsidRPr="00F011A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by: </w:t>
      </w:r>
      <w:proofErr w:type="spellStart"/>
      <w:r w:rsidRPr="00F011AC">
        <w:rPr>
          <w:rFonts w:ascii="Times New Roman" w:eastAsia="Times New Roman" w:hAnsi="Times New Roman" w:cs="Times New Roman"/>
          <w:b/>
          <w:bCs/>
          <w:sz w:val="30"/>
          <w:szCs w:val="30"/>
        </w:rPr>
        <w:t>Kipley</w:t>
      </w:r>
      <w:proofErr w:type="spellEnd"/>
      <w:r w:rsidRPr="00F011A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F011AC">
        <w:rPr>
          <w:rFonts w:ascii="Times New Roman" w:eastAsia="Times New Roman" w:hAnsi="Times New Roman" w:cs="Times New Roman"/>
          <w:b/>
          <w:bCs/>
          <w:sz w:val="30"/>
          <w:szCs w:val="30"/>
        </w:rPr>
        <w:t>Lytel</w:t>
      </w:r>
      <w:proofErr w:type="spellEnd"/>
      <w:r w:rsidR="00B60005">
        <w:rPr>
          <w:rFonts w:ascii="Times New Roman" w:eastAsia="Times New Roman" w:hAnsi="Times New Roman" w:cs="Times New Roman"/>
          <w:b/>
          <w:bCs/>
          <w:sz w:val="30"/>
          <w:szCs w:val="30"/>
        </w:rPr>
        <w:t>, CFA</w:t>
      </w:r>
      <w:r w:rsidR="00070495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</w:p>
    <w:p w:rsidR="00650C74" w:rsidRDefault="009C07A3">
      <w:r>
        <w:t>Most retirees don’t</w:t>
      </w:r>
      <w:r w:rsidR="0088212E">
        <w:t xml:space="preserve"> have the risk tolerance for</w:t>
      </w:r>
      <w:r w:rsidR="00AA7A52">
        <w:t xml:space="preserve"> sharp</w:t>
      </w:r>
      <w:r w:rsidR="0088212E">
        <w:t xml:space="preserve"> </w:t>
      </w:r>
      <w:r w:rsidR="006E2999">
        <w:t xml:space="preserve">downward volatility in </w:t>
      </w:r>
      <w:r w:rsidR="0088212E">
        <w:t>equity market</w:t>
      </w:r>
      <w:r w:rsidR="006E2999">
        <w:t>s</w:t>
      </w:r>
      <w:r w:rsidR="0088212E">
        <w:t xml:space="preserve">, nor </w:t>
      </w:r>
      <w:r w:rsidR="00144273">
        <w:t xml:space="preserve">are many comfortable with the </w:t>
      </w:r>
      <w:r w:rsidR="00D67E76">
        <w:t xml:space="preserve">traditional </w:t>
      </w:r>
      <w:r w:rsidR="007D49D4">
        <w:t>10</w:t>
      </w:r>
      <w:r w:rsidR="005424FE">
        <w:t>-</w:t>
      </w:r>
      <w:r w:rsidR="007D49D4">
        <w:t>year</w:t>
      </w:r>
      <w:r w:rsidR="0088212E">
        <w:t xml:space="preserve"> holding period </w:t>
      </w:r>
      <w:r w:rsidR="004728ED">
        <w:t xml:space="preserve">necessary </w:t>
      </w:r>
      <w:r w:rsidR="007D49D4">
        <w:t>to recover from another 40% drop in stock indices</w:t>
      </w:r>
      <w:r w:rsidR="00C56EEA">
        <w:t xml:space="preserve">. </w:t>
      </w:r>
      <w:r w:rsidR="00BB34D3">
        <w:t xml:space="preserve">Over </w:t>
      </w:r>
      <w:r w:rsidR="008650FD">
        <w:t xml:space="preserve">a </w:t>
      </w:r>
      <w:r w:rsidR="00BB34D3">
        <w:t>h</w:t>
      </w:r>
      <w:r w:rsidR="008650FD">
        <w:t xml:space="preserve">undred million of retirees </w:t>
      </w:r>
      <w:r w:rsidR="007D49D4">
        <w:t>will be</w:t>
      </w:r>
      <w:r w:rsidR="007A5BD8">
        <w:t xml:space="preserve"> facing </w:t>
      </w:r>
      <w:r w:rsidR="006D5088">
        <w:t>a new reality</w:t>
      </w:r>
      <w:r w:rsidR="006E2999">
        <w:t xml:space="preserve">, </w:t>
      </w:r>
      <w:r w:rsidR="00BB34D3">
        <w:t>as</w:t>
      </w:r>
      <w:r w:rsidR="00117608">
        <w:t xml:space="preserve"> </w:t>
      </w:r>
      <w:r w:rsidR="007A5BD8">
        <w:t xml:space="preserve">another </w:t>
      </w:r>
      <w:r w:rsidR="00117608">
        <w:t xml:space="preserve">roughly 75 </w:t>
      </w:r>
      <w:r w:rsidR="0088212E">
        <w:t xml:space="preserve">million baby boomers </w:t>
      </w:r>
      <w:r w:rsidR="008650FD">
        <w:t>continue to move</w:t>
      </w:r>
      <w:r w:rsidR="0088212E">
        <w:t xml:space="preserve"> into the golden </w:t>
      </w:r>
      <w:r w:rsidR="00D67E76">
        <w:t>years</w:t>
      </w:r>
      <w:r w:rsidR="006D5088">
        <w:t xml:space="preserve"> with the expectation</w:t>
      </w:r>
      <w:r w:rsidR="0088212E">
        <w:t xml:space="preserve"> </w:t>
      </w:r>
      <w:r w:rsidR="006D5088">
        <w:t>of</w:t>
      </w:r>
      <w:r w:rsidR="0088212E">
        <w:t xml:space="preserve"> </w:t>
      </w:r>
      <w:r w:rsidR="006D5088">
        <w:t>taking less risk</w:t>
      </w:r>
      <w:r w:rsidR="00A9647A">
        <w:t xml:space="preserve"> </w:t>
      </w:r>
      <w:r w:rsidR="006D5088">
        <w:t xml:space="preserve">and </w:t>
      </w:r>
      <w:r w:rsidR="007B7AEB">
        <w:t xml:space="preserve">having </w:t>
      </w:r>
      <w:r w:rsidR="00A9647A">
        <w:t>sufficient portfolio</w:t>
      </w:r>
      <w:r w:rsidR="00650C74">
        <w:t xml:space="preserve"> </w:t>
      </w:r>
      <w:r w:rsidR="006D5088">
        <w:t xml:space="preserve">income </w:t>
      </w:r>
      <w:r w:rsidR="00A9647A">
        <w:t>to s</w:t>
      </w:r>
      <w:r w:rsidR="006D5088">
        <w:t>ustain</w:t>
      </w:r>
      <w:r w:rsidR="00A9647A">
        <w:t xml:space="preserve"> their</w:t>
      </w:r>
      <w:r w:rsidR="006D5088">
        <w:t xml:space="preserve"> longevity </w:t>
      </w:r>
      <w:r w:rsidR="007D49D4">
        <w:t>and lifestyle</w:t>
      </w:r>
      <w:r w:rsidR="00C56EEA">
        <w:t xml:space="preserve">. </w:t>
      </w:r>
      <w:r w:rsidR="004728ED">
        <w:t>However, t</w:t>
      </w:r>
      <w:r w:rsidR="006D5088">
        <w:t xml:space="preserve">he days of 3-4% </w:t>
      </w:r>
      <w:r w:rsidR="004728ED">
        <w:t xml:space="preserve">CD </w:t>
      </w:r>
      <w:r w:rsidR="006D5088">
        <w:t>yield</w:t>
      </w:r>
      <w:r w:rsidR="004728ED">
        <w:t>s</w:t>
      </w:r>
      <w:r w:rsidR="006D5088">
        <w:t xml:space="preserve"> and 6-7%</w:t>
      </w:r>
      <w:r w:rsidR="0026557E">
        <w:t xml:space="preserve"> from</w:t>
      </w:r>
      <w:r w:rsidR="006D5088">
        <w:t xml:space="preserve"> investment grade corporate bonds are gone and </w:t>
      </w:r>
      <w:r w:rsidR="004728ED">
        <w:t xml:space="preserve">the opportunity frontier </w:t>
      </w:r>
      <w:r w:rsidR="00A6044F">
        <w:t xml:space="preserve">for income has sharply </w:t>
      </w:r>
      <w:r w:rsidR="00C56EEA">
        <w:t xml:space="preserve">narrowed. </w:t>
      </w:r>
      <w:r w:rsidR="00650C74">
        <w:t>Also, bonds carry price loss risk in a rising rate environment</w:t>
      </w:r>
      <w:r w:rsidR="005424FE">
        <w:t>, particularly</w:t>
      </w:r>
      <w:r w:rsidR="00650C74">
        <w:t xml:space="preserve"> if pu</w:t>
      </w:r>
      <w:r w:rsidR="00CF658C">
        <w:t>rchased in</w:t>
      </w:r>
      <w:r w:rsidR="006129F2">
        <w:t xml:space="preserve"> mutual funds or ETFs</w:t>
      </w:r>
      <w:r w:rsidR="0026557E">
        <w:t>.</w:t>
      </w:r>
      <w:r w:rsidR="00650C74">
        <w:t xml:space="preserve">  </w:t>
      </w:r>
    </w:p>
    <w:p w:rsidR="00672E7F" w:rsidRDefault="00A6044F" w:rsidP="00672E7F">
      <w:r>
        <w:t xml:space="preserve">Perhaps this quandary </w:t>
      </w:r>
      <w:r w:rsidR="00445C0D">
        <w:t xml:space="preserve">is one factor that </w:t>
      </w:r>
      <w:r>
        <w:t>has</w:t>
      </w:r>
      <w:r w:rsidR="006D5088">
        <w:t xml:space="preserve"> propelled retirees back into </w:t>
      </w:r>
      <w:r w:rsidR="00E958E8">
        <w:t xml:space="preserve">dividend </w:t>
      </w:r>
      <w:r w:rsidR="00792A3C">
        <w:t>stocks</w:t>
      </w:r>
      <w:r w:rsidR="00E958E8">
        <w:t xml:space="preserve"> for income</w:t>
      </w:r>
      <w:r w:rsidR="00020D38">
        <w:t>, of whic</w:t>
      </w:r>
      <w:r w:rsidR="006129F2">
        <w:t xml:space="preserve">h we don’t contest the benefits </w:t>
      </w:r>
      <w:r w:rsidR="004B2AA3">
        <w:t>for this allocated part of a</w:t>
      </w:r>
      <w:r w:rsidR="006129F2">
        <w:t xml:space="preserve"> retiree’s portfolio.</w:t>
      </w:r>
      <w:r w:rsidR="00C56EEA">
        <w:t xml:space="preserve"> </w:t>
      </w:r>
      <w:r w:rsidR="006129F2">
        <w:t>Currently, bonds are experiencing a great rotation, where a</w:t>
      </w:r>
      <w:r w:rsidR="00BF22C3">
        <w:t xml:space="preserve"> substantial amount of money moves from </w:t>
      </w:r>
      <w:r w:rsidR="00EB066F">
        <w:t xml:space="preserve">one asset class into another, such as </w:t>
      </w:r>
      <w:r w:rsidR="00BF22C3">
        <w:t>fixed income into equities</w:t>
      </w:r>
      <w:r w:rsidR="00EB066F">
        <w:t>.</w:t>
      </w:r>
      <w:r w:rsidR="00BF22C3">
        <w:t xml:space="preserve"> </w:t>
      </w:r>
      <w:r w:rsidR="00795CFC">
        <w:t xml:space="preserve">In </w:t>
      </w:r>
      <w:r w:rsidR="00C75946">
        <w:t xml:space="preserve">early </w:t>
      </w:r>
      <w:r w:rsidR="00795CFC">
        <w:t>2009, we had the reverse, where equity</w:t>
      </w:r>
      <w:r w:rsidR="00F91D6B">
        <w:t xml:space="preserve"> outflows were being redirected into</w:t>
      </w:r>
      <w:r w:rsidR="00C75946">
        <w:t xml:space="preserve"> </w:t>
      </w:r>
      <w:r w:rsidR="00773719">
        <w:t>bonds</w:t>
      </w:r>
      <w:r w:rsidR="00F91D6B">
        <w:t xml:space="preserve"> and money market</w:t>
      </w:r>
      <w:r w:rsidR="00773719">
        <w:t>s</w:t>
      </w:r>
      <w:r w:rsidR="00795CFC">
        <w:t xml:space="preserve">. </w:t>
      </w:r>
      <w:r w:rsidR="006736B9">
        <w:t xml:space="preserve"> A Goldman Sachs report showed over one trillion dollar net inflow into stocks in the four years prior to 2013, which </w:t>
      </w:r>
      <w:r w:rsidR="00F64193">
        <w:t xml:space="preserve">this year </w:t>
      </w:r>
      <w:r w:rsidR="006736B9">
        <w:t xml:space="preserve">is </w:t>
      </w:r>
      <w:r w:rsidR="00C56EEA">
        <w:t xml:space="preserve">on pace to exceed past years. </w:t>
      </w:r>
      <w:r w:rsidR="006736B9">
        <w:t>Although part of the pie is cor</w:t>
      </w:r>
      <w:r w:rsidR="00C21A3F">
        <w:t xml:space="preserve">porate buyback, </w:t>
      </w:r>
      <w:r w:rsidR="00187057">
        <w:t xml:space="preserve">M&amp;A buyouts </w:t>
      </w:r>
      <w:r w:rsidR="00C21A3F">
        <w:t xml:space="preserve">and net issuance, the </w:t>
      </w:r>
      <w:r w:rsidR="00187057">
        <w:t>more recent</w:t>
      </w:r>
      <w:r w:rsidR="00C21A3F">
        <w:t xml:space="preserve"> </w:t>
      </w:r>
      <w:r w:rsidR="00773719">
        <w:t xml:space="preserve">trend </w:t>
      </w:r>
      <w:r w:rsidR="00187057">
        <w:t>has been a focus</w:t>
      </w:r>
      <w:r w:rsidR="0000585A">
        <w:t>ed</w:t>
      </w:r>
      <w:r w:rsidR="00187057">
        <w:t xml:space="preserve"> paradigm shift away</w:t>
      </w:r>
      <w:r w:rsidR="00C56EEA">
        <w:t xml:space="preserve"> from bonds and into equities.</w:t>
      </w:r>
      <w:r w:rsidR="005A78E9">
        <w:rPr>
          <w:rStyle w:val="FootnoteReference"/>
        </w:rPr>
        <w:footnoteReference w:id="1"/>
      </w:r>
      <w:r w:rsidR="00C56EEA">
        <w:t xml:space="preserve"> </w:t>
      </w:r>
      <w:r w:rsidR="009E3E00">
        <w:t xml:space="preserve">Indeed, </w:t>
      </w:r>
      <w:r w:rsidR="009E3E00" w:rsidRPr="009E3E00">
        <w:t xml:space="preserve">investors withdrew an estimated $43 billion from taxable bond mutual funds </w:t>
      </w:r>
      <w:r w:rsidR="00290ADB">
        <w:t>in</w:t>
      </w:r>
      <w:r w:rsidR="007D2699">
        <w:t xml:space="preserve"> the month of</w:t>
      </w:r>
      <w:r w:rsidR="00290ADB">
        <w:t xml:space="preserve"> June</w:t>
      </w:r>
      <w:r w:rsidR="009E3E00" w:rsidRPr="009E3E00">
        <w:t xml:space="preserve"> alone and when the market sells bonds and buy</w:t>
      </w:r>
      <w:r w:rsidR="006129F2">
        <w:t>s</w:t>
      </w:r>
      <w:r w:rsidR="009E3E00" w:rsidRPr="009E3E00">
        <w:t xml:space="preserve"> stocks in large rotational dollar amounts, bonds decline </w:t>
      </w:r>
      <w:r w:rsidR="00FF5408">
        <w:t>and equities</w:t>
      </w:r>
      <w:r w:rsidR="00C75946">
        <w:t xml:space="preserve"> tend to</w:t>
      </w:r>
      <w:r w:rsidR="00FF5408">
        <w:t xml:space="preserve"> increase. </w:t>
      </w:r>
      <w:r w:rsidR="0000585A">
        <w:t>Of course a</w:t>
      </w:r>
      <w:r w:rsidR="00D67E76">
        <w:t xml:space="preserve">nother </w:t>
      </w:r>
      <w:r w:rsidR="00650C74">
        <w:t xml:space="preserve">equity </w:t>
      </w:r>
      <w:r w:rsidR="00F64193">
        <w:t xml:space="preserve">attraction </w:t>
      </w:r>
      <w:r w:rsidR="0000585A">
        <w:t>has been</w:t>
      </w:r>
      <w:r w:rsidR="00650C74">
        <w:t xml:space="preserve"> the central bank’s balance sheet stimulus and essential zero rate fuel</w:t>
      </w:r>
      <w:r w:rsidR="00F64193">
        <w:t>, which</w:t>
      </w:r>
      <w:r w:rsidR="00650C74">
        <w:t xml:space="preserve"> has made many investors assume market risk </w:t>
      </w:r>
      <w:r w:rsidR="00C75946">
        <w:t xml:space="preserve">(equity premium) </w:t>
      </w:r>
      <w:r w:rsidR="00650C74">
        <w:t>is lower.</w:t>
      </w:r>
    </w:p>
    <w:p w:rsidR="00CF38F2" w:rsidRDefault="009E5E85" w:rsidP="00411D6A">
      <w:r>
        <w:t xml:space="preserve">Meanwhile, many bonds have already taken it on the chin, as </w:t>
      </w:r>
      <w:r w:rsidR="009F73D5">
        <w:t xml:space="preserve">there has been a </w:t>
      </w:r>
      <w:r w:rsidR="00F64193">
        <w:t>large adjustment in</w:t>
      </w:r>
      <w:r w:rsidR="009F73D5">
        <w:t xml:space="preserve"> </w:t>
      </w:r>
      <w:r w:rsidR="00F64193">
        <w:t xml:space="preserve">some </w:t>
      </w:r>
      <w:r>
        <w:t>bond funds</w:t>
      </w:r>
      <w:r w:rsidR="00F64193">
        <w:t xml:space="preserve"> </w:t>
      </w:r>
      <w:r w:rsidR="009F73D5">
        <w:t>shifting</w:t>
      </w:r>
      <w:r>
        <w:t xml:space="preserve"> to lower duration</w:t>
      </w:r>
      <w:r w:rsidR="004C3596">
        <w:t xml:space="preserve"> </w:t>
      </w:r>
      <w:r w:rsidR="00672E7F">
        <w:t>after</w:t>
      </w:r>
      <w:r w:rsidR="004C3596">
        <w:t xml:space="preserve"> Bernanke rattled the bond market earlier this year</w:t>
      </w:r>
      <w:r w:rsidR="00C56EEA">
        <w:t xml:space="preserve">. </w:t>
      </w:r>
      <w:r w:rsidR="004C3596">
        <w:t>To keep things simple and not considering the different bond</w:t>
      </w:r>
      <w:r w:rsidR="00F64193">
        <w:t xml:space="preserve"> grade</w:t>
      </w:r>
      <w:r w:rsidR="004C3596">
        <w:t xml:space="preserve"> ratings</w:t>
      </w:r>
      <w:r w:rsidR="00F91D6B">
        <w:t xml:space="preserve"> or convexity</w:t>
      </w:r>
      <w:r w:rsidR="004C3596">
        <w:t>, if a mutual fund has an average duration of seven years, if rates were to increase 1%, the bond fund</w:t>
      </w:r>
      <w:r w:rsidR="00C56EEA">
        <w:t xml:space="preserve"> would hypothetically lose 7%. </w:t>
      </w:r>
      <w:r w:rsidR="00973BE7">
        <w:t xml:space="preserve">Even while the Fed has not moved rates up or indicated an increase </w:t>
      </w:r>
      <w:r w:rsidR="00F91D6B">
        <w:t xml:space="preserve">yet </w:t>
      </w:r>
      <w:r w:rsidR="00973BE7">
        <w:t xml:space="preserve">this year, the asset class </w:t>
      </w:r>
      <w:r w:rsidR="00973BE7">
        <w:lastRenderedPageBreak/>
        <w:t>r</w:t>
      </w:r>
      <w:r w:rsidR="004C3596">
        <w:t>otation</w:t>
      </w:r>
      <w:r w:rsidR="00973BE7">
        <w:t xml:space="preserve"> </w:t>
      </w:r>
      <w:r w:rsidR="004C3596">
        <w:t>has</w:t>
      </w:r>
      <w:r w:rsidR="00D67E76">
        <w:t xml:space="preserve"> arguably</w:t>
      </w:r>
      <w:r w:rsidR="00973BE7">
        <w:t xml:space="preserve"> already</w:t>
      </w:r>
      <w:r w:rsidR="004C3596">
        <w:t xml:space="preserve"> started, as t</w:t>
      </w:r>
      <w:r w:rsidR="00BC6DC4" w:rsidRPr="00FF5408">
        <w:t xml:space="preserve">he Barclays Aggregate Bond Index </w:t>
      </w:r>
      <w:r w:rsidR="00FF5408">
        <w:t>declined</w:t>
      </w:r>
      <w:r w:rsidR="001A7042">
        <w:t xml:space="preserve"> -2.3% so far this year</w:t>
      </w:r>
      <w:r w:rsidR="002B1D71">
        <w:t xml:space="preserve">. The ten year </w:t>
      </w:r>
      <w:r w:rsidR="00773719">
        <w:t>T</w:t>
      </w:r>
      <w:r w:rsidR="00BC6DC4" w:rsidRPr="00FF5408">
        <w:t xml:space="preserve">reasury bond ended the quarter </w:t>
      </w:r>
      <w:r w:rsidR="00140150">
        <w:t>yielding 2.5</w:t>
      </w:r>
      <w:r w:rsidR="00BC6DC4" w:rsidRPr="00FF5408">
        <w:t>% co</w:t>
      </w:r>
      <w:r w:rsidR="00140150">
        <w:t>mpared to 1.7</w:t>
      </w:r>
      <w:r w:rsidR="002B1D71">
        <w:t xml:space="preserve">% at year end, translating for </w:t>
      </w:r>
      <w:r w:rsidR="004006C5">
        <w:t xml:space="preserve">mutual funds that own long government bonds </w:t>
      </w:r>
      <w:r w:rsidR="00773719">
        <w:t xml:space="preserve">averaging </w:t>
      </w:r>
      <w:r w:rsidR="00D139CC">
        <w:t>over a</w:t>
      </w:r>
      <w:r w:rsidR="00773719">
        <w:t xml:space="preserve"> </w:t>
      </w:r>
      <w:r w:rsidR="00040A21">
        <w:t>-</w:t>
      </w:r>
      <w:r w:rsidR="00D139CC">
        <w:t>7%</w:t>
      </w:r>
      <w:r w:rsidR="004006C5">
        <w:t xml:space="preserve"> </w:t>
      </w:r>
      <w:r w:rsidR="00773719">
        <w:t xml:space="preserve">loss </w:t>
      </w:r>
      <w:r w:rsidR="004006C5">
        <w:t>this year.</w:t>
      </w:r>
      <w:r w:rsidR="00C56EEA">
        <w:t xml:space="preserve"> </w:t>
      </w:r>
      <w:r w:rsidR="00140150" w:rsidRPr="00140150">
        <w:t>Treasury Infla</w:t>
      </w:r>
      <w:r w:rsidR="00140150">
        <w:t xml:space="preserve">tion </w:t>
      </w:r>
      <w:r w:rsidR="00140150" w:rsidRPr="00140150">
        <w:t xml:space="preserve">Protected </w:t>
      </w:r>
      <w:r w:rsidR="00140150">
        <w:t>Securities lost</w:t>
      </w:r>
      <w:r w:rsidR="00140150" w:rsidRPr="00140150">
        <w:t xml:space="preserve"> ‐3.6% in</w:t>
      </w:r>
      <w:r w:rsidR="00140150">
        <w:t xml:space="preserve"> </w:t>
      </w:r>
      <w:r w:rsidR="00140150" w:rsidRPr="00140150">
        <w:t>June a</w:t>
      </w:r>
      <w:r w:rsidR="001A7042">
        <w:t>nd were down over ‐6.5</w:t>
      </w:r>
      <w:r w:rsidR="00140150">
        <w:t>% year-to-</w:t>
      </w:r>
      <w:r w:rsidR="00140150" w:rsidRPr="00140150">
        <w:t>date</w:t>
      </w:r>
      <w:r w:rsidR="009C07A3" w:rsidRPr="00140150">
        <w:t>.</w:t>
      </w:r>
      <w:r w:rsidR="00BC6DC4" w:rsidRPr="00FF5408">
        <w:t xml:space="preserve"> </w:t>
      </w:r>
      <w:r w:rsidR="004D12F3">
        <w:t xml:space="preserve">Although </w:t>
      </w:r>
      <w:r w:rsidR="00BC6DC4" w:rsidRPr="00FF5408">
        <w:t>International bonds</w:t>
      </w:r>
      <w:r w:rsidR="00B71A26">
        <w:t xml:space="preserve"> </w:t>
      </w:r>
      <w:r w:rsidR="004D12F3">
        <w:t xml:space="preserve">recovered </w:t>
      </w:r>
      <w:r w:rsidR="00DE363C">
        <w:t>+</w:t>
      </w:r>
      <w:r w:rsidR="004D12F3">
        <w:t>2.4% in July, they have</w:t>
      </w:r>
      <w:r w:rsidR="00B71A26">
        <w:t xml:space="preserve"> also suffered, </w:t>
      </w:r>
      <w:r w:rsidR="00773719">
        <w:t>with the</w:t>
      </w:r>
      <w:r w:rsidR="00C56EEA">
        <w:t xml:space="preserve"> </w:t>
      </w:r>
      <w:r w:rsidR="00BC6DC4" w:rsidRPr="00FF5408">
        <w:t>Barclays Global Treasury</w:t>
      </w:r>
      <w:r w:rsidR="00DE363C">
        <w:t xml:space="preserve"> Bond</w:t>
      </w:r>
      <w:r w:rsidR="00BC6DC4" w:rsidRPr="00FF5408">
        <w:t xml:space="preserve"> Index </w:t>
      </w:r>
      <w:r w:rsidR="00B71A26">
        <w:t>being down</w:t>
      </w:r>
      <w:r w:rsidR="001A7042">
        <w:t xml:space="preserve"> </w:t>
      </w:r>
      <w:r w:rsidR="00BC6DC4" w:rsidRPr="00FF5408">
        <w:t>‐</w:t>
      </w:r>
      <w:r w:rsidR="001A7042">
        <w:t>4.7</w:t>
      </w:r>
      <w:r w:rsidR="00BC6DC4" w:rsidRPr="00FF5408">
        <w:t xml:space="preserve">% this year. </w:t>
      </w:r>
    </w:p>
    <w:p w:rsidR="007A5BD8" w:rsidRDefault="00A723F6" w:rsidP="00A649EA">
      <w:r w:rsidRPr="006E40C9">
        <w:t xml:space="preserve">On the professional institutional </w:t>
      </w:r>
      <w:r w:rsidR="00CF38F2">
        <w:t xml:space="preserve">investor side, </w:t>
      </w:r>
      <w:r w:rsidR="00C22603">
        <w:t>there was ample opportunity to sell longer dura</w:t>
      </w:r>
      <w:r w:rsidR="00411D6A">
        <w:t>tion bonds trading at a premium over</w:t>
      </w:r>
      <w:r w:rsidR="00C22603">
        <w:t xml:space="preserve"> par (higher market price than maturity value) in early 2013.  Also, </w:t>
      </w:r>
      <w:r w:rsidR="00CF38F2">
        <w:t>there was an early</w:t>
      </w:r>
      <w:r w:rsidRPr="006E40C9">
        <w:t xml:space="preserve"> yield roll down </w:t>
      </w:r>
      <w:r w:rsidR="00411D6A">
        <w:t>opportunities</w:t>
      </w:r>
      <w:r w:rsidR="00874961">
        <w:t xml:space="preserve"> </w:t>
      </w:r>
      <w:r w:rsidRPr="006E40C9">
        <w:t>as a strategy to generate yield and protect principal investment.</w:t>
      </w:r>
      <w:r w:rsidR="00874961">
        <w:t xml:space="preserve"> R</w:t>
      </w:r>
      <w:r w:rsidR="00E46671">
        <w:t xml:space="preserve">olling down the curve </w:t>
      </w:r>
      <w:r w:rsidR="00A649EA">
        <w:t>can be accomplished by purchasing of a bond with a maturity in the higher yielding section of the yield curve and selling the bond prior to maturity when it r</w:t>
      </w:r>
      <w:r w:rsidR="00C22603">
        <w:t>eaches a lower yielding section,</w:t>
      </w:r>
      <w:r w:rsidR="00E46671">
        <w:t xml:space="preserve"> assuming a positively </w:t>
      </w:r>
      <w:r w:rsidR="00C22603">
        <w:t xml:space="preserve">and unchanged </w:t>
      </w:r>
      <w:r w:rsidR="00E46671">
        <w:t xml:space="preserve">sloped yield curve. </w:t>
      </w:r>
      <w:r w:rsidR="00CF38F2" w:rsidRPr="006E40C9">
        <w:t>When prevailing interest rates are expected</w:t>
      </w:r>
      <w:r w:rsidR="001B09BE">
        <w:t xml:space="preserve"> to</w:t>
      </w:r>
      <w:r w:rsidR="00CF38F2" w:rsidRPr="006E40C9">
        <w:t xml:space="preserve"> increase in the future, this motivates investors to “roll down the yield curve” with bonds</w:t>
      </w:r>
      <w:r w:rsidR="00CF38F2">
        <w:t xml:space="preserve"> that are approaching maturity, with the assumption that bonds </w:t>
      </w:r>
      <w:r w:rsidR="00CF38F2" w:rsidRPr="006E40C9">
        <w:t xml:space="preserve">potentially </w:t>
      </w:r>
      <w:r w:rsidR="00CF38F2">
        <w:t xml:space="preserve">are </w:t>
      </w:r>
      <w:r w:rsidR="00CF38F2" w:rsidRPr="006E40C9">
        <w:t>valued at</w:t>
      </w:r>
      <w:r w:rsidR="00CF38F2">
        <w:t xml:space="preserve"> lower yields and higher prices</w:t>
      </w:r>
      <w:r w:rsidR="00CF38F2" w:rsidRPr="006E40C9">
        <w:t>.</w:t>
      </w:r>
      <w:r w:rsidR="00C56EEA">
        <w:t xml:space="preserve"> </w:t>
      </w:r>
      <w:r w:rsidR="00874961">
        <w:t xml:space="preserve">In short, some </w:t>
      </w:r>
      <w:r w:rsidR="00C22603">
        <w:t>institutional</w:t>
      </w:r>
      <w:r w:rsidR="001B09BE">
        <w:t xml:space="preserve"> players</w:t>
      </w:r>
      <w:r w:rsidR="00C22603">
        <w:t xml:space="preserve"> moved early and</w:t>
      </w:r>
      <w:r w:rsidR="00874961">
        <w:t xml:space="preserve"> locked in price appreciation </w:t>
      </w:r>
      <w:r w:rsidR="001B09BE">
        <w:t>well ahead of</w:t>
      </w:r>
      <w:r w:rsidR="00C22603">
        <w:t xml:space="preserve"> any prospective interest rate increase by the Fed.</w:t>
      </w:r>
      <w:r w:rsidR="00A649EA">
        <w:t xml:space="preserve"> </w:t>
      </w:r>
    </w:p>
    <w:p w:rsidR="00C927E1" w:rsidRDefault="0073452E">
      <w:r>
        <w:t>There has been financial articles</w:t>
      </w:r>
      <w:r w:rsidR="00D931C1">
        <w:t>’</w:t>
      </w:r>
      <w:r>
        <w:t xml:space="preserve"> positing that holding </w:t>
      </w:r>
      <w:r w:rsidR="000D79A0">
        <w:t xml:space="preserve">investment grade </w:t>
      </w:r>
      <w:r>
        <w:t xml:space="preserve">bond mutual funds in a rising rate environment will only lead to short term price fluctuation losses, but in the longer term the mechanisms are </w:t>
      </w:r>
      <w:r w:rsidR="00411D6A">
        <w:t>in place for stability as these</w:t>
      </w:r>
      <w:r>
        <w:t xml:space="preserve"> funds simply hold bonds to maturity and buy new higher yielding </w:t>
      </w:r>
      <w:r w:rsidR="00D1198A">
        <w:t>bonds (assuming rates</w:t>
      </w:r>
      <w:r w:rsidR="000D79A0">
        <w:t xml:space="preserve"> are</w:t>
      </w:r>
      <w:r w:rsidR="00D1198A">
        <w:t xml:space="preserve"> increas</w:t>
      </w:r>
      <w:r w:rsidR="000D79A0">
        <w:t>ing</w:t>
      </w:r>
      <w:r w:rsidR="00D1198A">
        <w:t>)</w:t>
      </w:r>
      <w:r w:rsidR="00411D6A">
        <w:t>. W</w:t>
      </w:r>
      <w:r w:rsidR="00D931C1">
        <w:t>e believe this could be a</w:t>
      </w:r>
      <w:r w:rsidR="00411D6A">
        <w:t>n</w:t>
      </w:r>
      <w:r w:rsidR="00D931C1">
        <w:t xml:space="preserve"> ongoing market loss scenario</w:t>
      </w:r>
      <w:r w:rsidR="006129F2">
        <w:t xml:space="preserve"> for longer maturity funds</w:t>
      </w:r>
      <w:r w:rsidR="00D931C1">
        <w:t xml:space="preserve">. </w:t>
      </w:r>
      <w:r w:rsidR="00BE2F6A">
        <w:t>Assuming a bond fund is not short-term duration, the</w:t>
      </w:r>
      <w:r w:rsidR="000D79A0">
        <w:t xml:space="preserve">n in an ongoing rate increase environment </w:t>
      </w:r>
      <w:r w:rsidR="00BE2F6A">
        <w:t xml:space="preserve">the bond fund </w:t>
      </w:r>
      <w:r w:rsidR="000D79A0">
        <w:t xml:space="preserve">will continually be </w:t>
      </w:r>
      <w:r w:rsidR="00BE2F6A">
        <w:t xml:space="preserve">a step behind prevailing </w:t>
      </w:r>
      <w:r w:rsidR="000D79A0">
        <w:t xml:space="preserve">higher market </w:t>
      </w:r>
      <w:r w:rsidR="00BE2F6A">
        <w:t>rates</w:t>
      </w:r>
      <w:r w:rsidR="00FD1A12">
        <w:t>, subjecting the fund</w:t>
      </w:r>
      <w:r w:rsidR="00411D6A">
        <w:t xml:space="preserve"> to continual </w:t>
      </w:r>
      <w:r w:rsidR="006129F2">
        <w:t xml:space="preserve">bond </w:t>
      </w:r>
      <w:r w:rsidR="00411D6A">
        <w:t>price erosion</w:t>
      </w:r>
      <w:r w:rsidR="00301F25">
        <w:t xml:space="preserve"> </w:t>
      </w:r>
      <w:r w:rsidR="00FD1A12">
        <w:t xml:space="preserve">on </w:t>
      </w:r>
      <w:r w:rsidR="001D16B5">
        <w:t>seasoned</w:t>
      </w:r>
      <w:r w:rsidR="00301F25">
        <w:t xml:space="preserve"> </w:t>
      </w:r>
      <w:r w:rsidR="006A491C">
        <w:t xml:space="preserve">lower yielding </w:t>
      </w:r>
      <w:r w:rsidR="00301F25">
        <w:t>bonds</w:t>
      </w:r>
      <w:r w:rsidR="0097692F">
        <w:t xml:space="preserve"> relative to</w:t>
      </w:r>
      <w:r w:rsidR="00D65939">
        <w:t xml:space="preserve"> </w:t>
      </w:r>
      <w:r w:rsidR="006129F2">
        <w:t xml:space="preserve">prevailing higher </w:t>
      </w:r>
      <w:r w:rsidR="00D65939">
        <w:t>market</w:t>
      </w:r>
      <w:r w:rsidR="006129F2">
        <w:t xml:space="preserve"> yielding</w:t>
      </w:r>
      <w:r w:rsidR="0097692F">
        <w:t xml:space="preserve"> issuance</w:t>
      </w:r>
      <w:r w:rsidR="00411D6A">
        <w:t>.</w:t>
      </w:r>
    </w:p>
    <w:p w:rsidR="0088212E" w:rsidRDefault="004A27F7">
      <w:r>
        <w:t xml:space="preserve">With investment grade bond yields </w:t>
      </w:r>
      <w:r w:rsidR="006129F2">
        <w:t>barely high enough to cover</w:t>
      </w:r>
      <w:r>
        <w:t xml:space="preserve"> inflationary costs of living, what are the</w:t>
      </w:r>
      <w:r w:rsidR="00E12B4E">
        <w:t xml:space="preserve"> income</w:t>
      </w:r>
      <w:r w:rsidR="00C56EEA">
        <w:t xml:space="preserve"> options for retirees? </w:t>
      </w:r>
      <w:r w:rsidR="007F5B5C">
        <w:t>In light o</w:t>
      </w:r>
      <w:r w:rsidR="00AA25CC">
        <w:t>f the fact</w:t>
      </w:r>
      <w:r w:rsidR="00A82DAD">
        <w:t xml:space="preserve"> that</w:t>
      </w:r>
      <w:r w:rsidR="00AA25CC">
        <w:t xml:space="preserve"> we are in substantial</w:t>
      </w:r>
      <w:r w:rsidR="007F5B5C">
        <w:t xml:space="preserve"> better economic</w:t>
      </w:r>
      <w:r w:rsidR="00142562">
        <w:t xml:space="preserve"> environment than</w:t>
      </w:r>
      <w:r w:rsidR="00AA25CC">
        <w:t xml:space="preserve"> a few years ago, along with </w:t>
      </w:r>
      <w:r w:rsidR="007F5B5C">
        <w:t>considerably strong</w:t>
      </w:r>
      <w:r w:rsidR="00AA25CC">
        <w:t>er</w:t>
      </w:r>
      <w:r w:rsidR="006129F2">
        <w:t xml:space="preserve"> corporate balance sheets, we would suggest</w:t>
      </w:r>
      <w:r w:rsidR="007F5B5C">
        <w:t xml:space="preserve"> o</w:t>
      </w:r>
      <w:r>
        <w:t xml:space="preserve">ne part of the answer is to assume different risk for the bond section of the portfolio, such as </w:t>
      </w:r>
      <w:r w:rsidR="0060247E">
        <w:t>high yield bonds and</w:t>
      </w:r>
      <w:r>
        <w:t xml:space="preserve"> convertible bonds</w:t>
      </w:r>
      <w:r w:rsidR="00C56EEA">
        <w:t xml:space="preserve">. </w:t>
      </w:r>
      <w:r w:rsidR="0060247E">
        <w:t>Both are much further down in the capital structure of a company and offer characteristics to better protect losses</w:t>
      </w:r>
      <w:r w:rsidR="00C56EEA">
        <w:t xml:space="preserve"> in a rising rate environment. </w:t>
      </w:r>
      <w:r w:rsidR="00607877">
        <w:t>Another part of the equation for inco</w:t>
      </w:r>
      <w:r w:rsidR="00D52A33">
        <w:t>me would be to choose different sources for</w:t>
      </w:r>
      <w:r w:rsidR="00607877">
        <w:t xml:space="preserve"> </w:t>
      </w:r>
      <w:r w:rsidR="00D52A33">
        <w:t>yield</w:t>
      </w:r>
      <w:r w:rsidR="00607877">
        <w:t>, such as REITS</w:t>
      </w:r>
      <w:r w:rsidR="000D1F6E">
        <w:t>,</w:t>
      </w:r>
      <w:r w:rsidR="00607877">
        <w:t xml:space="preserve"> MLPs</w:t>
      </w:r>
      <w:r w:rsidR="00492CB6">
        <w:t>, utility p</w:t>
      </w:r>
      <w:r w:rsidR="00DC44F0">
        <w:t>referred</w:t>
      </w:r>
      <w:r w:rsidR="000D1F6E">
        <w:t xml:space="preserve"> </w:t>
      </w:r>
      <w:r w:rsidR="00492CB6">
        <w:t xml:space="preserve">stocks </w:t>
      </w:r>
      <w:r w:rsidR="000D1F6E">
        <w:t xml:space="preserve">and </w:t>
      </w:r>
      <w:r w:rsidR="00DF40B4">
        <w:t xml:space="preserve">selling </w:t>
      </w:r>
      <w:r w:rsidR="000D1F6E">
        <w:t>covered call</w:t>
      </w:r>
      <w:r w:rsidR="00DF40B4">
        <w:t>s</w:t>
      </w:r>
      <w:r w:rsidR="007A296C">
        <w:t xml:space="preserve"> (often already holding high dividend stocks)</w:t>
      </w:r>
      <w:r w:rsidR="00607877">
        <w:t>.</w:t>
      </w:r>
      <w:r w:rsidR="000D1F6E">
        <w:t xml:space="preserve">  </w:t>
      </w:r>
      <w:r w:rsidR="00607877">
        <w:t xml:space="preserve"> </w:t>
      </w:r>
    </w:p>
    <w:p w:rsidR="00E22F85" w:rsidRDefault="00567324" w:rsidP="00FB0A2C">
      <w:pPr>
        <w:pStyle w:val="ListParagraph"/>
        <w:numPr>
          <w:ilvl w:val="0"/>
          <w:numId w:val="1"/>
        </w:numPr>
      </w:pPr>
      <w:r>
        <w:t>Although an investor is taking on more credit risk, hi</w:t>
      </w:r>
      <w:r w:rsidR="00FB0A2C">
        <w:t>gh yield bonds have delivered returns that exceed other fixed income vehicles and have been show</w:t>
      </w:r>
      <w:r>
        <w:t>n</w:t>
      </w:r>
      <w:r w:rsidR="00FB0A2C">
        <w:t xml:space="preserve"> to have similar returns to equities o</w:t>
      </w:r>
      <w:r w:rsidR="00C56EEA">
        <w:t xml:space="preserve">ver the past decade in a half. </w:t>
      </w:r>
      <w:r w:rsidR="00FB0A2C">
        <w:t xml:space="preserve">Also, </w:t>
      </w:r>
      <w:r>
        <w:t xml:space="preserve">with </w:t>
      </w:r>
      <w:r w:rsidR="00FB0A2C">
        <w:t xml:space="preserve">the </w:t>
      </w:r>
      <w:r>
        <w:t xml:space="preserve">markedly </w:t>
      </w:r>
      <w:r w:rsidR="00FB0A2C">
        <w:t>high</w:t>
      </w:r>
      <w:r>
        <w:t>er</w:t>
      </w:r>
      <w:r w:rsidR="00FB0A2C">
        <w:t xml:space="preserve"> coupon to compensate for risk, these bonds are less susceptible to loss </w:t>
      </w:r>
      <w:r w:rsidR="000328FB">
        <w:t>from rising rates.</w:t>
      </w:r>
      <w:r w:rsidR="00BB4957">
        <w:t xml:space="preserve"> The average coupon over the past decade in the half approximates 9% range.</w:t>
      </w:r>
      <w:r w:rsidR="00C56EEA">
        <w:t xml:space="preserve"> </w:t>
      </w:r>
      <w:r w:rsidR="00E21460">
        <w:t xml:space="preserve">In fact, the premium yield spread over treasuries often contract during rising rates, suggesting </w:t>
      </w:r>
      <w:r w:rsidR="006129F2">
        <w:t>high yield prices can actually increase in value</w:t>
      </w:r>
      <w:r w:rsidR="00E21460">
        <w:t>.</w:t>
      </w:r>
      <w:r w:rsidR="00E22F85">
        <w:t xml:space="preserve">  Though the </w:t>
      </w:r>
      <w:r w:rsidR="006129F2">
        <w:t>optimal approach would</w:t>
      </w:r>
      <w:r w:rsidR="00E22F85">
        <w:t xml:space="preserve"> to buy </w:t>
      </w:r>
      <w:r w:rsidR="006129F2">
        <w:t xml:space="preserve">dozens of </w:t>
      </w:r>
      <w:r w:rsidR="00E22F85">
        <w:t xml:space="preserve">individual bonds, most retail investors </w:t>
      </w:r>
      <w:r w:rsidR="00E22F85">
        <w:lastRenderedPageBreak/>
        <w:t xml:space="preserve">don’t have the capital or </w:t>
      </w:r>
      <w:r>
        <w:t xml:space="preserve">access to </w:t>
      </w:r>
      <w:r w:rsidR="00E22F85">
        <w:t xml:space="preserve">full </w:t>
      </w:r>
      <w:r>
        <w:t xml:space="preserve">supply of </w:t>
      </w:r>
      <w:r w:rsidR="00E22F85">
        <w:t>issuance</w:t>
      </w:r>
      <w:r>
        <w:t xml:space="preserve"> for diversity and, therefore, they are</w:t>
      </w:r>
      <w:r w:rsidR="00E22F85">
        <w:t xml:space="preserve"> typically relegated to funds.  </w:t>
      </w:r>
    </w:p>
    <w:p w:rsidR="00237286" w:rsidRDefault="00E22F85" w:rsidP="00237286">
      <w:pPr>
        <w:pStyle w:val="ListParagraph"/>
        <w:numPr>
          <w:ilvl w:val="1"/>
          <w:numId w:val="1"/>
        </w:numPr>
      </w:pPr>
      <w:r>
        <w:t xml:space="preserve">We would suggest funds that held up in 2008, such as </w:t>
      </w:r>
      <w:r w:rsidRPr="00E22F85">
        <w:t>Wells Fargo Advantage Short-Term High Yield Bond</w:t>
      </w:r>
      <w:r>
        <w:t xml:space="preserve"> </w:t>
      </w:r>
      <w:r w:rsidR="00567324">
        <w:t xml:space="preserve">(SSTHX, load waived), which </w:t>
      </w:r>
      <w:r>
        <w:t>only lost 5.8% in 2008’s upheaval.</w:t>
      </w:r>
      <w:r w:rsidR="009F1A8D">
        <w:t xml:space="preserve">  </w:t>
      </w:r>
      <w:r w:rsidR="00EE4DB9">
        <w:t>This fund yields almost 4%, is in the positive this year when bonds are largely in the red and has delivered over an annual 4.6% return over the past 10 years.</w:t>
      </w:r>
      <w:r w:rsidR="00EE6BDE">
        <w:t xml:space="preserve">  Although ETFs tend to be more volatile than mutual funds, </w:t>
      </w:r>
      <w:proofErr w:type="spellStart"/>
      <w:r w:rsidR="00EE6BDE" w:rsidRPr="00EE6BDE">
        <w:t>PowerShares</w:t>
      </w:r>
      <w:proofErr w:type="spellEnd"/>
      <w:r w:rsidR="00EE6BDE" w:rsidRPr="00EE6BDE">
        <w:t xml:space="preserve"> Senior Loan Portfolio ETF (</w:t>
      </w:r>
      <w:hyperlink r:id="rId10" w:history="1">
        <w:r w:rsidR="00EE6BDE" w:rsidRPr="00EE6BDE">
          <w:t>BKLN</w:t>
        </w:r>
      </w:hyperlink>
      <w:r w:rsidR="00EE6BDE" w:rsidRPr="00EE6BDE">
        <w:t>)</w:t>
      </w:r>
      <w:r w:rsidR="00331A90">
        <w:t xml:space="preserve"> is</w:t>
      </w:r>
      <w:r w:rsidR="00EE6BDE" w:rsidRPr="00EE6BDE">
        <w:t xml:space="preserve"> </w:t>
      </w:r>
      <w:r w:rsidR="00331A90">
        <w:t xml:space="preserve">a </w:t>
      </w:r>
      <w:r w:rsidR="00EE6BDE" w:rsidRPr="00EE6BDE">
        <w:t xml:space="preserve">senior secured loan </w:t>
      </w:r>
      <w:r w:rsidR="00331A90">
        <w:t xml:space="preserve">yielding about 4.3%, but </w:t>
      </w:r>
      <w:r w:rsidR="00EE6BDE" w:rsidRPr="00EE6BDE">
        <w:t>with a much higher recovery in default scenarios</w:t>
      </w:r>
      <w:r w:rsidR="00331A90">
        <w:t>;</w:t>
      </w:r>
      <w:r w:rsidR="00EE6BDE" w:rsidRPr="00EE6BDE">
        <w:t xml:space="preserve"> </w:t>
      </w:r>
      <w:r w:rsidR="00331A90">
        <w:t>it</w:t>
      </w:r>
      <w:r w:rsidR="00EE6BDE" w:rsidRPr="00EE6BDE">
        <w:t xml:space="preserve"> </w:t>
      </w:r>
      <w:r w:rsidR="00331A90">
        <w:t xml:space="preserve">also </w:t>
      </w:r>
      <w:r w:rsidR="00EE6BDE" w:rsidRPr="00EE6BDE">
        <w:t>is floating rate, which insulated the fund from rising rates.</w:t>
      </w:r>
    </w:p>
    <w:p w:rsidR="00CF658C" w:rsidRDefault="00862A46" w:rsidP="006B20F0">
      <w:pPr>
        <w:pStyle w:val="ListParagraph"/>
        <w:numPr>
          <w:ilvl w:val="0"/>
          <w:numId w:val="1"/>
        </w:numPr>
      </w:pPr>
      <w:r>
        <w:t>Convertible bonds are considered hybrid fixed-income securit</w:t>
      </w:r>
      <w:r w:rsidR="006D6684">
        <w:t>i</w:t>
      </w:r>
      <w:r>
        <w:t>es that offer incom</w:t>
      </w:r>
      <w:r w:rsidR="006D6684">
        <w:t>e</w:t>
      </w:r>
      <w:r w:rsidR="00237286">
        <w:t xml:space="preserve"> with</w:t>
      </w:r>
      <w:r>
        <w:t xml:space="preserve"> equity-like exposure</w:t>
      </w:r>
      <w:r w:rsidR="006D6684">
        <w:t>, and at times, offer defensive characteristics during periods of rising rates</w:t>
      </w:r>
      <w:r w:rsidR="00C56EEA">
        <w:t>.</w:t>
      </w:r>
      <w:r w:rsidR="005E6AF1">
        <w:t xml:space="preserve"> T</w:t>
      </w:r>
      <w:r w:rsidR="005E6AF1" w:rsidRPr="005E6AF1">
        <w:t>he fixed income component of convertible bonds</w:t>
      </w:r>
      <w:r w:rsidR="005E6AF1">
        <w:t xml:space="preserve"> is protective since there is a </w:t>
      </w:r>
      <w:r w:rsidR="005E6AF1" w:rsidRPr="005E6AF1">
        <w:t>par</w:t>
      </w:r>
      <w:r w:rsidR="005E6AF1">
        <w:t xml:space="preserve"> maturity with the principal repayment feature, along with </w:t>
      </w:r>
      <w:r w:rsidR="005E6AF1" w:rsidRPr="005E6AF1">
        <w:t xml:space="preserve">semiannual </w:t>
      </w:r>
      <w:r w:rsidR="005E6AF1">
        <w:t>coupon</w:t>
      </w:r>
      <w:r w:rsidR="005E6AF1" w:rsidRPr="005E6AF1">
        <w:t xml:space="preserve"> payments.</w:t>
      </w:r>
      <w:r w:rsidR="005E6AF1">
        <w:t xml:space="preserve"> </w:t>
      </w:r>
      <w:r w:rsidRPr="00862A46">
        <w:t xml:space="preserve">Investors give up some </w:t>
      </w:r>
      <w:r>
        <w:t xml:space="preserve">coupon </w:t>
      </w:r>
      <w:r w:rsidRPr="00862A46">
        <w:t>yield in return for an option to convert in</w:t>
      </w:r>
      <w:r w:rsidR="009F1A8D">
        <w:t>to equity if the issuer’s share price rises</w:t>
      </w:r>
      <w:r w:rsidRPr="00862A46">
        <w:t xml:space="preserve"> above a preset </w:t>
      </w:r>
      <w:r w:rsidR="009F1A8D">
        <w:t>value (e.g. if stock is $50, option could be set at $55)</w:t>
      </w:r>
      <w:r>
        <w:t>.</w:t>
      </w:r>
      <w:r w:rsidR="006D6684">
        <w:t xml:space="preserve"> </w:t>
      </w:r>
      <w:r w:rsidR="00E02E05">
        <w:t>The ma</w:t>
      </w:r>
      <w:r w:rsidR="006B20F0">
        <w:t xml:space="preserve">rket size for U.S. convertible </w:t>
      </w:r>
      <w:r w:rsidR="009F1A8D">
        <w:t xml:space="preserve">bonds </w:t>
      </w:r>
      <w:r w:rsidR="006B20F0">
        <w:t xml:space="preserve">is growing again </w:t>
      </w:r>
      <w:r w:rsidR="00237286">
        <w:t xml:space="preserve">and </w:t>
      </w:r>
      <w:r w:rsidR="006B20F0">
        <w:t xml:space="preserve">is </w:t>
      </w:r>
      <w:r w:rsidR="009F1A8D">
        <w:t xml:space="preserve">now </w:t>
      </w:r>
      <w:r w:rsidR="006B20F0">
        <w:t>over $2</w:t>
      </w:r>
      <w:r w:rsidR="006D6684" w:rsidRPr="006D6684">
        <w:t>00 billion</w:t>
      </w:r>
      <w:r w:rsidR="00040A21">
        <w:rPr>
          <w:rStyle w:val="FootnoteReference"/>
        </w:rPr>
        <w:footnoteReference w:id="2"/>
      </w:r>
      <w:r w:rsidR="009F1A8D">
        <w:t>,</w:t>
      </w:r>
      <w:r w:rsidR="006D6684" w:rsidRPr="006D6684">
        <w:t xml:space="preserve"> </w:t>
      </w:r>
      <w:r w:rsidR="006B20F0">
        <w:t>current</w:t>
      </w:r>
      <w:r w:rsidR="009F1A8D">
        <w:t>ly</w:t>
      </w:r>
      <w:r w:rsidR="006B20F0">
        <w:t xml:space="preserve"> yield</w:t>
      </w:r>
      <w:r w:rsidR="009F1A8D">
        <w:t>ing</w:t>
      </w:r>
      <w:r w:rsidR="006B20F0">
        <w:t xml:space="preserve"> in the</w:t>
      </w:r>
      <w:r w:rsidR="006D6684" w:rsidRPr="006D6684">
        <w:t xml:space="preserve"> 3% </w:t>
      </w:r>
      <w:r w:rsidR="00A82DAD">
        <w:t>range</w:t>
      </w:r>
      <w:r w:rsidR="009F1A8D">
        <w:t xml:space="preserve"> with an</w:t>
      </w:r>
      <w:r w:rsidR="006B20F0">
        <w:t xml:space="preserve"> </w:t>
      </w:r>
      <w:r w:rsidR="006D6684" w:rsidRPr="006D6684">
        <w:t xml:space="preserve">average </w:t>
      </w:r>
      <w:r w:rsidR="009F1A8D">
        <w:t>BB- (investment grade) rating</w:t>
      </w:r>
      <w:r w:rsidR="006B20F0">
        <w:t xml:space="preserve">.  </w:t>
      </w:r>
    </w:p>
    <w:p w:rsidR="00F102EB" w:rsidRDefault="006B20F0" w:rsidP="00F102EB">
      <w:pPr>
        <w:pStyle w:val="ListParagraph"/>
        <w:numPr>
          <w:ilvl w:val="1"/>
          <w:numId w:val="1"/>
        </w:numPr>
      </w:pPr>
      <w:r>
        <w:t xml:space="preserve">Again, we suggest diversity </w:t>
      </w:r>
      <w:r w:rsidR="00237286">
        <w:t xml:space="preserve">of many individual securities, which would likely limit </w:t>
      </w:r>
      <w:r>
        <w:t xml:space="preserve">retail investors </w:t>
      </w:r>
      <w:r w:rsidR="00237286">
        <w:t xml:space="preserve">to </w:t>
      </w:r>
      <w:r>
        <w:t>mutual fund</w:t>
      </w:r>
      <w:r w:rsidR="009F1A8D">
        <w:t>s</w:t>
      </w:r>
      <w:r>
        <w:t xml:space="preserve"> </w:t>
      </w:r>
      <w:r w:rsidR="009F1A8D">
        <w:t>and ETFs</w:t>
      </w:r>
      <w:r>
        <w:t>.</w:t>
      </w:r>
      <w:r w:rsidR="00CF658C">
        <w:t xml:space="preserve"> </w:t>
      </w:r>
      <w:r w:rsidR="009F1A8D">
        <w:t xml:space="preserve">Similar in approach to the high yield </w:t>
      </w:r>
      <w:r w:rsidR="006C5E9D">
        <w:t>mutual funds, we look at which convertible funds</w:t>
      </w:r>
      <w:r w:rsidR="006D46F5">
        <w:t xml:space="preserve"> </w:t>
      </w:r>
      <w:r w:rsidR="009F1A8D">
        <w:t>had</w:t>
      </w:r>
      <w:r w:rsidR="006D46F5">
        <w:t xml:space="preserve"> the lowest loss exposure </w:t>
      </w:r>
      <w:r w:rsidR="006C5E9D">
        <w:t>during the</w:t>
      </w:r>
      <w:r w:rsidR="00C56EEA">
        <w:t xml:space="preserve"> 2008 capital market sell-off. </w:t>
      </w:r>
      <w:r w:rsidR="009A2C01">
        <w:t>In this category, we like a fund that uses both low duration corporate and convertible bonds, Greenspring Fund (GRSPX), which only lost -11.7% in 2008.</w:t>
      </w:r>
      <w:r w:rsidR="009F1A8D">
        <w:t xml:space="preserve">  </w:t>
      </w:r>
      <w:r w:rsidR="00F102EB">
        <w:t>Yet, this fund yields 3.4%, is up 12.9%</w:t>
      </w:r>
      <w:r w:rsidR="00EE4DB9">
        <w:t xml:space="preserve"> for the year and has a 10 year</w:t>
      </w:r>
      <w:r w:rsidR="00F102EB">
        <w:t xml:space="preserve"> annual return over 8%.</w:t>
      </w:r>
      <w:r w:rsidR="00894683">
        <w:t xml:space="preserve">  For ETFs, there is </w:t>
      </w:r>
      <w:r w:rsidR="00894683" w:rsidRPr="00894683">
        <w:t>SPDR Barclays Convertible Securities ETF (CWB)</w:t>
      </w:r>
      <w:r w:rsidR="00894683">
        <w:t xml:space="preserve"> that yields about 3.9%</w:t>
      </w:r>
      <w:r w:rsidR="00894683" w:rsidRPr="00894683">
        <w:t>.</w:t>
      </w:r>
    </w:p>
    <w:p w:rsidR="00135CCA" w:rsidRDefault="00152CF1" w:rsidP="00E91037">
      <w:pPr>
        <w:pStyle w:val="ListParagraph"/>
        <w:numPr>
          <w:ilvl w:val="0"/>
          <w:numId w:val="1"/>
        </w:numPr>
      </w:pPr>
      <w:r>
        <w:t xml:space="preserve">Though REITs can be as volatile as equities, this asset class </w:t>
      </w:r>
      <w:r w:rsidR="0065381A">
        <w:t>has real property characteristics as an underlying asset and</w:t>
      </w:r>
      <w:r w:rsidR="00664509">
        <w:t xml:space="preserve"> cash flow for</w:t>
      </w:r>
      <w:r w:rsidR="0065381A">
        <w:t xml:space="preserve"> income. </w:t>
      </w:r>
      <w:r w:rsidR="001C1420">
        <w:t xml:space="preserve"> REITs</w:t>
      </w:r>
      <w:r w:rsidR="00664509">
        <w:t xml:space="preserve"> assets are</w:t>
      </w:r>
      <w:r w:rsidR="001C1420" w:rsidRPr="001C1420">
        <w:t xml:space="preserve"> in rea</w:t>
      </w:r>
      <w:r w:rsidR="00664509">
        <w:t xml:space="preserve">l estate to produce income, where </w:t>
      </w:r>
      <w:r w:rsidR="001C1420" w:rsidRPr="001C1420">
        <w:t xml:space="preserve">at least 90% of its income </w:t>
      </w:r>
      <w:r w:rsidR="00664509">
        <w:t xml:space="preserve">is distributed </w:t>
      </w:r>
      <w:r w:rsidR="001C1420" w:rsidRPr="001C1420">
        <w:t>back to its shareholders.</w:t>
      </w:r>
      <w:r w:rsidR="00C56EEA">
        <w:t xml:space="preserve"> </w:t>
      </w:r>
      <w:r w:rsidR="001C1420">
        <w:t>However</w:t>
      </w:r>
      <w:r w:rsidR="00664509">
        <w:t xml:space="preserve">, REITs </w:t>
      </w:r>
      <w:r w:rsidR="009C07A3">
        <w:t>took big</w:t>
      </w:r>
      <w:r w:rsidR="001C1420">
        <w:t xml:space="preserve"> hit</w:t>
      </w:r>
      <w:r w:rsidR="00664509">
        <w:t>s in</w:t>
      </w:r>
      <w:r w:rsidR="001C1420">
        <w:t xml:space="preserve"> </w:t>
      </w:r>
      <w:r w:rsidR="00664509">
        <w:t xml:space="preserve">2007 and </w:t>
      </w:r>
      <w:r w:rsidR="001C1420">
        <w:t xml:space="preserve">2008. </w:t>
      </w:r>
      <w:r w:rsidR="00BA736C">
        <w:t>T</w:t>
      </w:r>
      <w:r w:rsidR="0084591D">
        <w:t xml:space="preserve">he self-storage REITS held up the best in 2008, followed by health care REITS, which were down </w:t>
      </w:r>
      <w:r w:rsidR="00BA736C">
        <w:t xml:space="preserve">about </w:t>
      </w:r>
      <w:r w:rsidR="0084591D">
        <w:t>12%.</w:t>
      </w:r>
      <w:r w:rsidR="00C56EEA">
        <w:t xml:space="preserve"> </w:t>
      </w:r>
      <w:r w:rsidR="00905FF4">
        <w:t>We also like diversified cons</w:t>
      </w:r>
      <w:r w:rsidR="00135CCA">
        <w:t>ervative Realty Income Corp (O), which yields about 5%, and</w:t>
      </w:r>
      <w:r w:rsidR="00152E03">
        <w:t xml:space="preserve"> has a</w:t>
      </w:r>
      <w:r w:rsidR="00BA7264">
        <w:t xml:space="preserve"> long history of cash flow and dividends</w:t>
      </w:r>
      <w:r w:rsidR="00C56EEA">
        <w:t xml:space="preserve">. </w:t>
      </w:r>
      <w:r w:rsidR="00135CCA">
        <w:t xml:space="preserve">The REIT has </w:t>
      </w:r>
      <w:r w:rsidR="00BA7264">
        <w:t xml:space="preserve">held up reasonably well in </w:t>
      </w:r>
      <w:r w:rsidR="00152E03">
        <w:t xml:space="preserve">periods of </w:t>
      </w:r>
      <w:r w:rsidR="00BA7264">
        <w:t>market volatility.</w:t>
      </w:r>
      <w:r w:rsidR="00905FF4">
        <w:t xml:space="preserve"> </w:t>
      </w:r>
      <w:r w:rsidR="00E91037">
        <w:t xml:space="preserve"> </w:t>
      </w:r>
    </w:p>
    <w:p w:rsidR="00DC44F0" w:rsidRDefault="000637E4" w:rsidP="00333C38">
      <w:pPr>
        <w:pStyle w:val="ListParagraph"/>
        <w:numPr>
          <w:ilvl w:val="0"/>
          <w:numId w:val="1"/>
        </w:numPr>
      </w:pPr>
      <w:r>
        <w:t xml:space="preserve">Although MLPs have already experienced a </w:t>
      </w:r>
      <w:r w:rsidR="00F6265F">
        <w:t>solid</w:t>
      </w:r>
      <w:r>
        <w:t xml:space="preserve"> run-up this year, during periods of consolidation, </w:t>
      </w:r>
      <w:r w:rsidR="00F6265F">
        <w:t>this is an attractive ass</w:t>
      </w:r>
      <w:r w:rsidR="00C56EEA">
        <w:t>et class to include for income.</w:t>
      </w:r>
      <w:r w:rsidR="00F6265F">
        <w:t xml:space="preserve"> We like diverse MLPs</w:t>
      </w:r>
      <w:r>
        <w:t xml:space="preserve"> </w:t>
      </w:r>
      <w:r w:rsidR="00F6265F">
        <w:t>with healthy</w:t>
      </w:r>
      <w:r>
        <w:t xml:space="preserve"> yield</w:t>
      </w:r>
      <w:r w:rsidR="00F6265F">
        <w:t>s</w:t>
      </w:r>
      <w:r>
        <w:t xml:space="preserve"> and </w:t>
      </w:r>
      <w:r w:rsidR="00F6265F">
        <w:t xml:space="preserve">find </w:t>
      </w:r>
      <w:r w:rsidR="00E91037" w:rsidRPr="00E91037">
        <w:t>Brookfield Infrastructure (BIP)</w:t>
      </w:r>
      <w:r w:rsidR="005A4D88">
        <w:t xml:space="preserve"> </w:t>
      </w:r>
      <w:r w:rsidR="00F6265F">
        <w:t>to be attractive with</w:t>
      </w:r>
      <w:r w:rsidR="005A4D88">
        <w:t xml:space="preserve"> 4.5% </w:t>
      </w:r>
      <w:r w:rsidR="00F6265F">
        <w:t xml:space="preserve">coupon clip on </w:t>
      </w:r>
      <w:r w:rsidR="00D90855">
        <w:t>global interests in</w:t>
      </w:r>
      <w:r w:rsidR="00E91037" w:rsidRPr="00E91037">
        <w:rPr>
          <w:b/>
          <w:bCs/>
        </w:rPr>
        <w:t xml:space="preserve"> </w:t>
      </w:r>
      <w:r w:rsidR="00E91037" w:rsidRPr="00E91037">
        <w:t xml:space="preserve">toll roads, </w:t>
      </w:r>
      <w:r w:rsidR="00EF4449">
        <w:t xml:space="preserve">railroads, </w:t>
      </w:r>
      <w:r w:rsidR="00E91037" w:rsidRPr="00E91037">
        <w:t>electr</w:t>
      </w:r>
      <w:r w:rsidR="00EF4449">
        <w:t>icity-transmission grids, pipelines, ports, and timber</w:t>
      </w:r>
      <w:r w:rsidR="00D90855">
        <w:t>.</w:t>
      </w:r>
      <w:r w:rsidR="00333C38">
        <w:t xml:space="preserve"> Also, t</w:t>
      </w:r>
      <w:r w:rsidRPr="000637E4">
        <w:t xml:space="preserve">he </w:t>
      </w:r>
      <w:r w:rsidRPr="003C6A37">
        <w:t>UBS E-TRACS Alerian MLP Infrastructure ETN</w:t>
      </w:r>
      <w:r w:rsidRPr="000637E4">
        <w:t xml:space="preserve"> (</w:t>
      </w:r>
      <w:r w:rsidR="00AA7A52">
        <w:t xml:space="preserve">NYSE: </w:t>
      </w:r>
      <w:r w:rsidRPr="000637E4">
        <w:t>MLPI) holds 25 largest MLP's related to energy infrastructure secto</w:t>
      </w:r>
      <w:r w:rsidR="00333C38">
        <w:t>r and currently yields about 4.4</w:t>
      </w:r>
      <w:r w:rsidRPr="000637E4">
        <w:t>%.</w:t>
      </w:r>
      <w:r w:rsidR="00C56EEA">
        <w:t xml:space="preserve"> S</w:t>
      </w:r>
      <w:r w:rsidRPr="000637E4">
        <w:t xml:space="preserve">table cash flows, income and </w:t>
      </w:r>
      <w:r w:rsidR="00333C38">
        <w:t xml:space="preserve">unique </w:t>
      </w:r>
      <w:r w:rsidRPr="000637E4">
        <w:t xml:space="preserve">commodity exposure </w:t>
      </w:r>
      <w:r w:rsidR="00F6265F">
        <w:t xml:space="preserve">of diverse MLPs </w:t>
      </w:r>
      <w:r w:rsidR="00333C38">
        <w:t xml:space="preserve">can </w:t>
      </w:r>
      <w:r w:rsidRPr="000637E4">
        <w:t xml:space="preserve">help mitigate </w:t>
      </w:r>
      <w:r w:rsidR="00A82DAD">
        <w:t>some</w:t>
      </w:r>
      <w:r w:rsidR="008679CE">
        <w:t xml:space="preserve"> </w:t>
      </w:r>
      <w:r w:rsidRPr="000637E4">
        <w:t>volatility relative to equity markets.</w:t>
      </w:r>
    </w:p>
    <w:p w:rsidR="00F24616" w:rsidRDefault="002178FD" w:rsidP="00F24616">
      <w:pPr>
        <w:pStyle w:val="ListParagraph"/>
        <w:numPr>
          <w:ilvl w:val="0"/>
          <w:numId w:val="1"/>
        </w:numPr>
      </w:pPr>
      <w:r>
        <w:lastRenderedPageBreak/>
        <w:t xml:space="preserve">Utility preferred stocks and </w:t>
      </w:r>
      <w:r w:rsidR="005B0DBF">
        <w:t xml:space="preserve">preferred </w:t>
      </w:r>
      <w:r>
        <w:t xml:space="preserve">funds are </w:t>
      </w:r>
      <w:r w:rsidR="004F47A9">
        <w:t xml:space="preserve">long maturity </w:t>
      </w:r>
      <w:r>
        <w:t>preferred shares in utili</w:t>
      </w:r>
      <w:r w:rsidR="005B0DBF">
        <w:t xml:space="preserve">ties that </w:t>
      </w:r>
      <w:r w:rsidR="004F47A9">
        <w:t xml:space="preserve">have </w:t>
      </w:r>
      <w:r>
        <w:t>high dividend yield</w:t>
      </w:r>
      <w:r w:rsidR="004F47A9">
        <w:t>s</w:t>
      </w:r>
      <w:r>
        <w:t xml:space="preserve"> </w:t>
      </w:r>
      <w:r w:rsidR="005B0DBF">
        <w:t>from</w:t>
      </w:r>
      <w:r>
        <w:t xml:space="preserve"> water, gas</w:t>
      </w:r>
      <w:r w:rsidR="005B5048">
        <w:t xml:space="preserve"> and </w:t>
      </w:r>
      <w:r w:rsidR="009C07A3">
        <w:t>electric</w:t>
      </w:r>
      <w:r w:rsidR="005B0DBF">
        <w:t xml:space="preserve">, telephone </w:t>
      </w:r>
      <w:r w:rsidR="005B5048">
        <w:t xml:space="preserve">and </w:t>
      </w:r>
      <w:r w:rsidR="005B0DBF">
        <w:t>other</w:t>
      </w:r>
      <w:r w:rsidR="00EA5627">
        <w:t xml:space="preserve"> infrastructure. </w:t>
      </w:r>
      <w:r>
        <w:t>These shares</w:t>
      </w:r>
      <w:r w:rsidR="00576330">
        <w:t xml:space="preserve"> provide high yield, </w:t>
      </w:r>
      <w:r>
        <w:t>“first in line” dividend</w:t>
      </w:r>
      <w:r w:rsidR="00576330">
        <w:t xml:space="preserve"> distribution</w:t>
      </w:r>
      <w:r>
        <w:t xml:space="preserve"> </w:t>
      </w:r>
      <w:r w:rsidR="00576330">
        <w:t>(</w:t>
      </w:r>
      <w:r>
        <w:t>before common share</w:t>
      </w:r>
      <w:r w:rsidR="00576330">
        <w:t xml:space="preserve">s), </w:t>
      </w:r>
      <w:r w:rsidR="00B53234">
        <w:t>credit agency ratings</w:t>
      </w:r>
      <w:r w:rsidR="00576330">
        <w:t>,</w:t>
      </w:r>
      <w:r>
        <w:t xml:space="preserve"> and </w:t>
      </w:r>
      <w:r w:rsidR="00576330">
        <w:t>can often have</w:t>
      </w:r>
      <w:r>
        <w:t xml:space="preserve"> lower volatility</w:t>
      </w:r>
      <w:r w:rsidR="00576330">
        <w:t>.</w:t>
      </w:r>
      <w:r w:rsidR="00147AE6">
        <w:t xml:space="preserve"> Again, here we prefer diversity in funds, but a couple attractive individual securities </w:t>
      </w:r>
      <w:r w:rsidR="00857155">
        <w:t>with 5-6%</w:t>
      </w:r>
      <w:r w:rsidR="00147AE6">
        <w:t xml:space="preserve"> yield </w:t>
      </w:r>
      <w:r w:rsidR="00857155">
        <w:t xml:space="preserve">range </w:t>
      </w:r>
      <w:r w:rsidR="005B0DBF">
        <w:t xml:space="preserve">that </w:t>
      </w:r>
      <w:r w:rsidR="00147AE6">
        <w:t xml:space="preserve">demonstrate lower volatility are </w:t>
      </w:r>
      <w:r w:rsidR="00623356" w:rsidRPr="00147AE6">
        <w:t xml:space="preserve">Pacific Gas &amp; Electric Co. </w:t>
      </w:r>
      <w:r w:rsidR="00147AE6">
        <w:t>(</w:t>
      </w:r>
      <w:r w:rsidR="00AA7A52">
        <w:t xml:space="preserve">AMEX: </w:t>
      </w:r>
      <w:r w:rsidR="007F275E">
        <w:t>PCG) (</w:t>
      </w:r>
      <w:r w:rsidR="00623356" w:rsidRPr="00147AE6">
        <w:t>PCG-A</w:t>
      </w:r>
      <w:r w:rsidR="00147AE6">
        <w:t>,</w:t>
      </w:r>
      <w:r w:rsidR="00623356" w:rsidRPr="00147AE6">
        <w:t xml:space="preserve"> non callable</w:t>
      </w:r>
      <w:r w:rsidR="00147AE6">
        <w:t>)</w:t>
      </w:r>
      <w:r w:rsidR="00623356" w:rsidRPr="00147AE6">
        <w:t xml:space="preserve"> and Georgia Power</w:t>
      </w:r>
      <w:r w:rsidR="00074BFE">
        <w:t xml:space="preserve"> Company</w:t>
      </w:r>
      <w:r w:rsidR="00623356" w:rsidRPr="00147AE6">
        <w:t xml:space="preserve"> </w:t>
      </w:r>
      <w:r w:rsidR="005B0DBF">
        <w:t>(</w:t>
      </w:r>
      <w:r w:rsidR="00AA7A52">
        <w:t>NYSE:</w:t>
      </w:r>
      <w:r w:rsidR="007F275E">
        <w:t xml:space="preserve"> GPA)</w:t>
      </w:r>
      <w:r w:rsidR="00AA7A52">
        <w:t xml:space="preserve"> </w:t>
      </w:r>
      <w:r w:rsidR="007F275E">
        <w:t>(</w:t>
      </w:r>
      <w:r w:rsidR="00623356" w:rsidRPr="00147AE6">
        <w:t>GPE-A</w:t>
      </w:r>
      <w:r w:rsidR="00147AE6">
        <w:t xml:space="preserve">, </w:t>
      </w:r>
      <w:r w:rsidR="005B0DBF">
        <w:t>but</w:t>
      </w:r>
      <w:r w:rsidR="00623356" w:rsidRPr="00147AE6">
        <w:t xml:space="preserve"> callable</w:t>
      </w:r>
      <w:r w:rsidR="00147AE6">
        <w:t>)</w:t>
      </w:r>
      <w:r w:rsidR="00623356" w:rsidRPr="00147AE6">
        <w:t>.</w:t>
      </w:r>
      <w:r w:rsidR="006A3B00">
        <w:t xml:space="preserve"> </w:t>
      </w:r>
      <w:r w:rsidR="009A77D8">
        <w:t xml:space="preserve"> For ETFs, </w:t>
      </w:r>
      <w:r w:rsidR="00894683">
        <w:t>high yielding pref</w:t>
      </w:r>
      <w:r w:rsidR="009A77D8">
        <w:t>er</w:t>
      </w:r>
      <w:r w:rsidR="00894683">
        <w:t>r</w:t>
      </w:r>
      <w:r w:rsidR="009A77D8">
        <w:t xml:space="preserve">ed exposure is available through </w:t>
      </w:r>
      <w:proofErr w:type="spellStart"/>
      <w:r w:rsidR="009A77D8" w:rsidRPr="009A77D8">
        <w:t>iShares</w:t>
      </w:r>
      <w:proofErr w:type="spellEnd"/>
      <w:r w:rsidR="009A77D8" w:rsidRPr="009A77D8">
        <w:t xml:space="preserve"> S&amp;P U.S. </w:t>
      </w:r>
      <w:r w:rsidR="00894683">
        <w:t>Preferred Stock Index Fund (PFF)</w:t>
      </w:r>
      <w:r w:rsidR="0061139F">
        <w:t>, which yields 5.9%</w:t>
      </w:r>
      <w:r w:rsidR="00894683">
        <w:t>.</w:t>
      </w:r>
      <w:r w:rsidR="009A77D8">
        <w:t xml:space="preserve"> </w:t>
      </w:r>
      <w:r w:rsidR="006A3B00">
        <w:t xml:space="preserve">A respectable </w:t>
      </w:r>
      <w:r w:rsidR="007F4795">
        <w:t xml:space="preserve">6.5% yielding </w:t>
      </w:r>
      <w:r w:rsidR="006A3B00">
        <w:t>mutual fund in this category is Cohen &amp; Steers’ Preferred Securities and Income fund (CPXIX)</w:t>
      </w:r>
      <w:r w:rsidR="007F4795">
        <w:t>, which</w:t>
      </w:r>
      <w:r w:rsidR="006A3B00">
        <w:t xml:space="preserve"> tends to ou</w:t>
      </w:r>
      <w:r w:rsidR="005B5048">
        <w:t>tperform its ETF counterparts and has delivered over 11% annually over the past three years.</w:t>
      </w:r>
    </w:p>
    <w:p w:rsidR="00623356" w:rsidRDefault="00CC591A" w:rsidP="00623356">
      <w:pPr>
        <w:pStyle w:val="ListParagraph"/>
        <w:numPr>
          <w:ilvl w:val="0"/>
          <w:numId w:val="1"/>
        </w:numPr>
      </w:pPr>
      <w:r>
        <w:t>Covered calls earn</w:t>
      </w:r>
      <w:r w:rsidRPr="00DF40B4">
        <w:t xml:space="preserve"> </w:t>
      </w:r>
      <w:r>
        <w:t xml:space="preserve">additional income by </w:t>
      </w:r>
      <w:r w:rsidRPr="00DF40B4">
        <w:t>selling to another investor the right to buy some of its stock holdings at a set price</w:t>
      </w:r>
      <w:r w:rsidR="00EA5627">
        <w:t xml:space="preserve"> at some future date. </w:t>
      </w:r>
      <w:r w:rsidR="00F24616">
        <w:t>Investors can write</w:t>
      </w:r>
      <w:r w:rsidR="00DF40B4" w:rsidRPr="00DF40B4">
        <w:t xml:space="preserve"> </w:t>
      </w:r>
      <w:r w:rsidR="00DF40B4">
        <w:t>covered</w:t>
      </w:r>
      <w:r w:rsidR="00F24616">
        <w:t xml:space="preserve"> calls on their own portfolio of stocks f</w:t>
      </w:r>
      <w:r>
        <w:t>or more income, or buy a call op</w:t>
      </w:r>
      <w:r w:rsidR="00F24616">
        <w:t>tion fund that handles these trade strategies</w:t>
      </w:r>
      <w:r w:rsidR="00EA5627">
        <w:t xml:space="preserve">. </w:t>
      </w:r>
      <w:r w:rsidR="00116A4B">
        <w:t xml:space="preserve">This </w:t>
      </w:r>
      <w:r w:rsidR="005B0DBF">
        <w:t>can be an</w:t>
      </w:r>
      <w:r w:rsidR="00116A4B">
        <w:t xml:space="preserve"> attractive extra income source for those that believe the market has already logged in most of its gain this year, </w:t>
      </w:r>
      <w:r w:rsidR="005B0DBF">
        <w:t>as we do, and expect</w:t>
      </w:r>
      <w:r w:rsidR="00116A4B">
        <w:t xml:space="preserve"> more volatility (increa</w:t>
      </w:r>
      <w:r w:rsidR="00EA5627">
        <w:t>sing the value of said option).</w:t>
      </w:r>
      <w:r w:rsidR="00116A4B">
        <w:t xml:space="preserve"> In this space, we like Gateway Fund (GATEX</w:t>
      </w:r>
      <w:r w:rsidR="00944712">
        <w:t>, load waived</w:t>
      </w:r>
      <w:r w:rsidR="00116A4B">
        <w:t xml:space="preserve">), which attempts to </w:t>
      </w:r>
      <w:r w:rsidR="00116A4B" w:rsidRPr="00116A4B">
        <w:t>“capture a substantial portion of the long-term total return potential of equities, while limiting portfolio volatility to a level similar to that of long-term bonds.”</w:t>
      </w:r>
      <w:r w:rsidR="000765A6">
        <w:t xml:space="preserve"> </w:t>
      </w:r>
      <w:r w:rsidR="00944712">
        <w:t>Although it only yields about 1.7%, the income from call writing is in the return, which is up 4.7% this year and about 6% annua</w:t>
      </w:r>
      <w:r w:rsidR="00EA5627">
        <w:t xml:space="preserve">lly over the past three years. </w:t>
      </w:r>
      <w:r w:rsidR="000765A6">
        <w:t xml:space="preserve">The fund also uses put options to limit downside risk.  </w:t>
      </w:r>
      <w:r w:rsidR="00F966B9">
        <w:t>We also like Bridgeway Managed Volatility</w:t>
      </w:r>
      <w:r w:rsidR="0010364C">
        <w:t xml:space="preserve"> (</w:t>
      </w:r>
      <w:r w:rsidR="0010364C" w:rsidRPr="0010364C">
        <w:t>BRBPX</w:t>
      </w:r>
      <w:r w:rsidR="0010364C">
        <w:t>)</w:t>
      </w:r>
      <w:r w:rsidR="00F966B9">
        <w:t xml:space="preserve">, </w:t>
      </w:r>
      <w:r w:rsidR="0010364C">
        <w:t>as they use</w:t>
      </w:r>
      <w:r w:rsidR="00F966B9">
        <w:t xml:space="preserve"> covered calls for additional income and as a tool to reduce the risk of ‘outright stock ownership.’</w:t>
      </w:r>
      <w:r w:rsidR="00944712">
        <w:t xml:space="preserve"> </w:t>
      </w:r>
      <w:r w:rsidR="004F18FE">
        <w:t>The fund is up 6.4% this year and delivered about 7.8% annually over the past three years.</w:t>
      </w:r>
      <w:r w:rsidR="001A7042">
        <w:t xml:space="preserve">  For ETFs, there is </w:t>
      </w:r>
      <w:r w:rsidR="001A7042" w:rsidRPr="001A7042">
        <w:t>Horizons S&amp;P 500 Covered Call ETF (HSPX)</w:t>
      </w:r>
      <w:r w:rsidR="001A7042">
        <w:t>.</w:t>
      </w:r>
    </w:p>
    <w:p w:rsidR="0088212E" w:rsidRDefault="0088212E"/>
    <w:sectPr w:rsidR="0088212E" w:rsidSect="0045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18" w:rsidRDefault="004A4318" w:rsidP="005A78E9">
      <w:pPr>
        <w:spacing w:after="0" w:line="240" w:lineRule="auto"/>
      </w:pPr>
      <w:r>
        <w:separator/>
      </w:r>
    </w:p>
  </w:endnote>
  <w:endnote w:type="continuationSeparator" w:id="0">
    <w:p w:rsidR="004A4318" w:rsidRDefault="004A4318" w:rsidP="005A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18" w:rsidRDefault="004A4318" w:rsidP="005A78E9">
      <w:pPr>
        <w:spacing w:after="0" w:line="240" w:lineRule="auto"/>
      </w:pPr>
      <w:r>
        <w:separator/>
      </w:r>
    </w:p>
  </w:footnote>
  <w:footnote w:type="continuationSeparator" w:id="0">
    <w:p w:rsidR="004A4318" w:rsidRDefault="004A4318" w:rsidP="005A78E9">
      <w:pPr>
        <w:spacing w:after="0" w:line="240" w:lineRule="auto"/>
      </w:pPr>
      <w:r>
        <w:continuationSeparator/>
      </w:r>
    </w:p>
  </w:footnote>
  <w:footnote w:id="1">
    <w:p w:rsidR="005A78E9" w:rsidRDefault="005A78E9" w:rsidP="005A78E9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 w:rsidRPr="005A78E9">
        <w:rPr>
          <w:i/>
        </w:rPr>
        <w:t xml:space="preserve"> </w:t>
      </w:r>
      <w:proofErr w:type="gramStart"/>
      <w:r w:rsidRPr="005A78E9">
        <w:rPr>
          <w:i/>
        </w:rPr>
        <w:t>An equity investor’s guide to the Flow of Funds Accounts</w:t>
      </w:r>
      <w:r>
        <w:t>, Goldman Sachs, Portfolio Strategy Resource, March 11, 2013.</w:t>
      </w:r>
      <w:proofErr w:type="gramEnd"/>
    </w:p>
  </w:footnote>
  <w:footnote w:id="2">
    <w:p w:rsidR="00040A21" w:rsidRPr="00040A21" w:rsidRDefault="00040A21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40A21">
        <w:rPr>
          <w:i/>
          <w:sz w:val="22"/>
          <w:szCs w:val="22"/>
        </w:rPr>
        <w:t>An Overlooked Way To Play This Market: Convertible Bonds</w:t>
      </w:r>
      <w:r>
        <w:rPr>
          <w:sz w:val="22"/>
          <w:szCs w:val="22"/>
        </w:rPr>
        <w:t>, Forbes Magazine, 5/31/2013.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0C3B"/>
    <w:multiLevelType w:val="hybridMultilevel"/>
    <w:tmpl w:val="61D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2E"/>
    <w:rsid w:val="0000585A"/>
    <w:rsid w:val="000133AD"/>
    <w:rsid w:val="00016E0D"/>
    <w:rsid w:val="00020D38"/>
    <w:rsid w:val="000328FB"/>
    <w:rsid w:val="00040A21"/>
    <w:rsid w:val="000637E4"/>
    <w:rsid w:val="00064E13"/>
    <w:rsid w:val="00070495"/>
    <w:rsid w:val="00074BFE"/>
    <w:rsid w:val="000765A6"/>
    <w:rsid w:val="000807B7"/>
    <w:rsid w:val="000D1F6E"/>
    <w:rsid w:val="000D79A0"/>
    <w:rsid w:val="0010364C"/>
    <w:rsid w:val="00116A4B"/>
    <w:rsid w:val="00117608"/>
    <w:rsid w:val="00122CEF"/>
    <w:rsid w:val="00135CCA"/>
    <w:rsid w:val="00140150"/>
    <w:rsid w:val="00142562"/>
    <w:rsid w:val="00144273"/>
    <w:rsid w:val="00147974"/>
    <w:rsid w:val="00147AE6"/>
    <w:rsid w:val="00152CF1"/>
    <w:rsid w:val="00152E03"/>
    <w:rsid w:val="00187057"/>
    <w:rsid w:val="001A7042"/>
    <w:rsid w:val="001B09BE"/>
    <w:rsid w:val="001C1420"/>
    <w:rsid w:val="001D16B5"/>
    <w:rsid w:val="001F5944"/>
    <w:rsid w:val="002178FD"/>
    <w:rsid w:val="00237286"/>
    <w:rsid w:val="0026557E"/>
    <w:rsid w:val="00290205"/>
    <w:rsid w:val="00290ADB"/>
    <w:rsid w:val="002B1D71"/>
    <w:rsid w:val="002E659F"/>
    <w:rsid w:val="00301F25"/>
    <w:rsid w:val="00305B29"/>
    <w:rsid w:val="00310C32"/>
    <w:rsid w:val="00331A90"/>
    <w:rsid w:val="00333C38"/>
    <w:rsid w:val="003457BA"/>
    <w:rsid w:val="003622FD"/>
    <w:rsid w:val="003C6A37"/>
    <w:rsid w:val="003E5FF4"/>
    <w:rsid w:val="004006C5"/>
    <w:rsid w:val="00411D6A"/>
    <w:rsid w:val="00445C0D"/>
    <w:rsid w:val="00451727"/>
    <w:rsid w:val="004728ED"/>
    <w:rsid w:val="00492CB6"/>
    <w:rsid w:val="004A27F7"/>
    <w:rsid w:val="004A4318"/>
    <w:rsid w:val="004A4821"/>
    <w:rsid w:val="004B2AA3"/>
    <w:rsid w:val="004C3596"/>
    <w:rsid w:val="004D12F3"/>
    <w:rsid w:val="004F18FE"/>
    <w:rsid w:val="004F47A9"/>
    <w:rsid w:val="00516321"/>
    <w:rsid w:val="005424FE"/>
    <w:rsid w:val="00567324"/>
    <w:rsid w:val="00576330"/>
    <w:rsid w:val="005A4D88"/>
    <w:rsid w:val="005A78E9"/>
    <w:rsid w:val="005B0DBF"/>
    <w:rsid w:val="005B5048"/>
    <w:rsid w:val="005E6AF1"/>
    <w:rsid w:val="005F4E57"/>
    <w:rsid w:val="0060247E"/>
    <w:rsid w:val="00607877"/>
    <w:rsid w:val="0061139F"/>
    <w:rsid w:val="006129F2"/>
    <w:rsid w:val="00623356"/>
    <w:rsid w:val="006465E9"/>
    <w:rsid w:val="00650C74"/>
    <w:rsid w:val="0065381A"/>
    <w:rsid w:val="006626C8"/>
    <w:rsid w:val="00664509"/>
    <w:rsid w:val="00672E7F"/>
    <w:rsid w:val="006736B9"/>
    <w:rsid w:val="006A3B00"/>
    <w:rsid w:val="006A491C"/>
    <w:rsid w:val="006B20F0"/>
    <w:rsid w:val="006C5E9D"/>
    <w:rsid w:val="006D46F5"/>
    <w:rsid w:val="006D5088"/>
    <w:rsid w:val="006D6684"/>
    <w:rsid w:val="006E2999"/>
    <w:rsid w:val="006E40C9"/>
    <w:rsid w:val="00731D81"/>
    <w:rsid w:val="0073452E"/>
    <w:rsid w:val="007404D0"/>
    <w:rsid w:val="00773719"/>
    <w:rsid w:val="0079274B"/>
    <w:rsid w:val="00792A3C"/>
    <w:rsid w:val="00795CFC"/>
    <w:rsid w:val="007A296C"/>
    <w:rsid w:val="007A5BD8"/>
    <w:rsid w:val="007B7AEB"/>
    <w:rsid w:val="007D2699"/>
    <w:rsid w:val="007D49D4"/>
    <w:rsid w:val="007F275E"/>
    <w:rsid w:val="007F4795"/>
    <w:rsid w:val="007F5B5C"/>
    <w:rsid w:val="00833FDD"/>
    <w:rsid w:val="00842AD4"/>
    <w:rsid w:val="0084591D"/>
    <w:rsid w:val="00857155"/>
    <w:rsid w:val="00862A46"/>
    <w:rsid w:val="008650FD"/>
    <w:rsid w:val="008679CE"/>
    <w:rsid w:val="00874961"/>
    <w:rsid w:val="00876D0A"/>
    <w:rsid w:val="0088212E"/>
    <w:rsid w:val="008877D7"/>
    <w:rsid w:val="00894683"/>
    <w:rsid w:val="008A2A52"/>
    <w:rsid w:val="008B38CA"/>
    <w:rsid w:val="008C286A"/>
    <w:rsid w:val="008D7125"/>
    <w:rsid w:val="00905FF4"/>
    <w:rsid w:val="0094448E"/>
    <w:rsid w:val="00944712"/>
    <w:rsid w:val="00973BE7"/>
    <w:rsid w:val="0097692F"/>
    <w:rsid w:val="009A2C01"/>
    <w:rsid w:val="009A77D8"/>
    <w:rsid w:val="009C07A3"/>
    <w:rsid w:val="009E3E00"/>
    <w:rsid w:val="009E4065"/>
    <w:rsid w:val="009E5E85"/>
    <w:rsid w:val="009F1A8D"/>
    <w:rsid w:val="009F73D5"/>
    <w:rsid w:val="00A301C1"/>
    <w:rsid w:val="00A6044F"/>
    <w:rsid w:val="00A649EA"/>
    <w:rsid w:val="00A723F6"/>
    <w:rsid w:val="00A800A8"/>
    <w:rsid w:val="00A82DAD"/>
    <w:rsid w:val="00A9647A"/>
    <w:rsid w:val="00AA25CC"/>
    <w:rsid w:val="00AA7A52"/>
    <w:rsid w:val="00AA7FC9"/>
    <w:rsid w:val="00AB3DA8"/>
    <w:rsid w:val="00AD5313"/>
    <w:rsid w:val="00AF15EB"/>
    <w:rsid w:val="00B53234"/>
    <w:rsid w:val="00B60005"/>
    <w:rsid w:val="00B71A26"/>
    <w:rsid w:val="00B817A5"/>
    <w:rsid w:val="00B9295A"/>
    <w:rsid w:val="00BA7264"/>
    <w:rsid w:val="00BA736C"/>
    <w:rsid w:val="00BB34D3"/>
    <w:rsid w:val="00BB4957"/>
    <w:rsid w:val="00BC63FD"/>
    <w:rsid w:val="00BC6DC4"/>
    <w:rsid w:val="00BE2F6A"/>
    <w:rsid w:val="00BF22C3"/>
    <w:rsid w:val="00C17764"/>
    <w:rsid w:val="00C21A3F"/>
    <w:rsid w:val="00C22603"/>
    <w:rsid w:val="00C24A09"/>
    <w:rsid w:val="00C434A6"/>
    <w:rsid w:val="00C56EEA"/>
    <w:rsid w:val="00C75946"/>
    <w:rsid w:val="00C927E1"/>
    <w:rsid w:val="00CC591A"/>
    <w:rsid w:val="00CF38F2"/>
    <w:rsid w:val="00CF658C"/>
    <w:rsid w:val="00D1198A"/>
    <w:rsid w:val="00D11A9B"/>
    <w:rsid w:val="00D139CC"/>
    <w:rsid w:val="00D4484A"/>
    <w:rsid w:val="00D52A33"/>
    <w:rsid w:val="00D63E31"/>
    <w:rsid w:val="00D65939"/>
    <w:rsid w:val="00D67E76"/>
    <w:rsid w:val="00D90855"/>
    <w:rsid w:val="00D931C1"/>
    <w:rsid w:val="00D961C1"/>
    <w:rsid w:val="00DC44F0"/>
    <w:rsid w:val="00DE363C"/>
    <w:rsid w:val="00DF40B4"/>
    <w:rsid w:val="00E02E05"/>
    <w:rsid w:val="00E12B4E"/>
    <w:rsid w:val="00E21460"/>
    <w:rsid w:val="00E22F85"/>
    <w:rsid w:val="00E46671"/>
    <w:rsid w:val="00E91037"/>
    <w:rsid w:val="00E958E8"/>
    <w:rsid w:val="00EA5627"/>
    <w:rsid w:val="00EB066F"/>
    <w:rsid w:val="00EB5703"/>
    <w:rsid w:val="00ED0D99"/>
    <w:rsid w:val="00EE4DB9"/>
    <w:rsid w:val="00EE6BDE"/>
    <w:rsid w:val="00EF23A3"/>
    <w:rsid w:val="00EF4449"/>
    <w:rsid w:val="00F102EB"/>
    <w:rsid w:val="00F24616"/>
    <w:rsid w:val="00F6265F"/>
    <w:rsid w:val="00F64193"/>
    <w:rsid w:val="00F816F0"/>
    <w:rsid w:val="00F91D6B"/>
    <w:rsid w:val="00F966B9"/>
    <w:rsid w:val="00FB0A2C"/>
    <w:rsid w:val="00FD1A12"/>
    <w:rsid w:val="00FF2F0A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3E00"/>
    <w:rPr>
      <w:b/>
      <w:bCs/>
      <w:i w:val="0"/>
      <w:iCs w:val="0"/>
    </w:rPr>
  </w:style>
  <w:style w:type="character" w:customStyle="1" w:styleId="st">
    <w:name w:val="st"/>
    <w:basedOn w:val="DefaultParagraphFont"/>
    <w:rsid w:val="009E3E00"/>
  </w:style>
  <w:style w:type="paragraph" w:styleId="ListParagraph">
    <w:name w:val="List Paragraph"/>
    <w:basedOn w:val="Normal"/>
    <w:uiPriority w:val="34"/>
    <w:qFormat/>
    <w:rsid w:val="00FB0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37"/>
    <w:rPr>
      <w:rFonts w:ascii="Arial" w:hAnsi="Arial" w:cs="Arial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03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8E9"/>
    <w:rPr>
      <w:vertAlign w:val="superscript"/>
    </w:rPr>
  </w:style>
  <w:style w:type="character" w:customStyle="1" w:styleId="definition-url">
    <w:name w:val="definition-url"/>
    <w:basedOn w:val="DefaultParagraphFont"/>
    <w:rsid w:val="00EE6BDE"/>
  </w:style>
  <w:style w:type="character" w:customStyle="1" w:styleId="st1">
    <w:name w:val="st1"/>
    <w:basedOn w:val="DefaultParagraphFont"/>
    <w:rsid w:val="001A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sa=N&amp;biw=1280&amp;bih=641&amp;hl=en&amp;tbm=isch&amp;tbnid=Ec2FpF2RBLzMRM:&amp;imgrefurl=http://www.prepaidmvno.com/2011/06/03/elephant-talk-and-mobile-wallets-the-next-trillion-dollar-revolution-seeking-alpha/&amp;docid=1vOui2Iqg1qYCM&amp;imgurl=http://www.prepaidmvno.com/wp-content/uploads/2011/06/seekingalpha.png&amp;w=300&amp;h=188&amp;ei=WEAKUsSLHrCQyQGVh4DoDg&amp;zoom=1&amp;ved=1t:3588,r:11,s:0,i:121&amp;iact=rc&amp;page=2&amp;tbnh=150&amp;tbnw=240&amp;start=10&amp;ndsp=15&amp;tx=213&amp;ty=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ance.yahoo.com/q?s=bkl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AABAD-FE48-4456-9E59-2C52E332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cp:lastPrinted>2014-01-14T17:16:00Z</cp:lastPrinted>
  <dcterms:created xsi:type="dcterms:W3CDTF">2013-07-30T16:14:00Z</dcterms:created>
  <dcterms:modified xsi:type="dcterms:W3CDTF">2014-01-14T17:35:00Z</dcterms:modified>
</cp:coreProperties>
</file>