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07" w:rsidRDefault="00177207" w:rsidP="00D10C07">
      <w:pPr>
        <w:rPr>
          <w:rFonts w:cs="Arial"/>
          <w:b/>
          <w:color w:val="000000"/>
        </w:rPr>
      </w:pPr>
      <w:r w:rsidRPr="00177207">
        <w:rPr>
          <w:rFonts w:cs="Arial"/>
          <w:b/>
          <w:noProof/>
          <w:color w:val="000000"/>
        </w:rPr>
        <w:drawing>
          <wp:anchor distT="0" distB="0" distL="114300" distR="114300" simplePos="0" relativeHeight="251659264" behindDoc="1" locked="0" layoutInCell="1" allowOverlap="1">
            <wp:simplePos x="0" y="0"/>
            <wp:positionH relativeFrom="column">
              <wp:posOffset>-28575</wp:posOffset>
            </wp:positionH>
            <wp:positionV relativeFrom="paragraph">
              <wp:posOffset>-57150</wp:posOffset>
            </wp:positionV>
            <wp:extent cx="2633345" cy="1452245"/>
            <wp:effectExtent l="19050" t="0" r="0" b="0"/>
            <wp:wrapTight wrapText="bothSides">
              <wp:wrapPolygon edited="0">
                <wp:start x="-156" y="0"/>
                <wp:lineTo x="-156" y="21251"/>
                <wp:lineTo x="21564" y="21251"/>
                <wp:lineTo x="21564" y="0"/>
                <wp:lineTo x="-156" y="0"/>
              </wp:wrapPolygon>
            </wp:wrapTight>
            <wp:docPr id="1" name="Picture 1" descr="https://encrypted-tbn1.gstatic.com/images?q=tbn:ANd9GcQdk91seLMaKhu7eSmT1twLMafwH8TxDmzbAzFxPxQ_A2BSLZdV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dk91seLMaKhu7eSmT1twLMafwH8TxDmzbAzFxPxQ_A2BSLZdVGw">
                      <a:hlinkClick r:id="rId5"/>
                    </pic:cNvPr>
                    <pic:cNvPicPr>
                      <a:picLocks noChangeAspect="1" noChangeArrowheads="1"/>
                    </pic:cNvPicPr>
                  </pic:nvPicPr>
                  <pic:blipFill>
                    <a:blip r:embed="rId6" cstate="print"/>
                    <a:srcRect/>
                    <a:stretch>
                      <a:fillRect/>
                    </a:stretch>
                  </pic:blipFill>
                  <pic:spPr bwMode="auto">
                    <a:xfrm>
                      <a:off x="0" y="0"/>
                      <a:ext cx="2633345" cy="1452245"/>
                    </a:xfrm>
                    <a:prstGeom prst="rect">
                      <a:avLst/>
                    </a:prstGeom>
                    <a:noFill/>
                    <a:ln w="9525">
                      <a:noFill/>
                      <a:miter lim="800000"/>
                      <a:headEnd/>
                      <a:tailEnd/>
                    </a:ln>
                  </pic:spPr>
                </pic:pic>
              </a:graphicData>
            </a:graphic>
          </wp:anchor>
        </w:drawing>
      </w:r>
    </w:p>
    <w:p w:rsidR="00177207" w:rsidRDefault="004D2EF3" w:rsidP="00D10C07">
      <w:pPr>
        <w:rPr>
          <w:rFonts w:cs="Arial"/>
          <w:b/>
          <w:color w:val="000000"/>
        </w:rPr>
      </w:pPr>
      <w:r w:rsidRPr="00217AE0">
        <w:rPr>
          <w:rFonts w:cs="Arial"/>
          <w:b/>
          <w:color w:val="000000"/>
        </w:rPr>
        <w:t xml:space="preserve"> </w:t>
      </w:r>
      <w:r w:rsidR="00D935BD">
        <w:rPr>
          <w:rFonts w:cs="Arial"/>
          <w:b/>
          <w:color w:val="000000"/>
        </w:rPr>
        <w:t xml:space="preserve">                                    Date: December 16, 2016</w:t>
      </w:r>
    </w:p>
    <w:p w:rsidR="00177207" w:rsidRDefault="00177207" w:rsidP="00D10C07">
      <w:pPr>
        <w:rPr>
          <w:rFonts w:cs="Arial"/>
          <w:b/>
          <w:color w:val="000000"/>
        </w:rPr>
      </w:pPr>
    </w:p>
    <w:p w:rsidR="00177207" w:rsidRDefault="00177207" w:rsidP="00D10C07">
      <w:pPr>
        <w:rPr>
          <w:rFonts w:cs="Arial"/>
          <w:b/>
          <w:color w:val="000000"/>
        </w:rPr>
      </w:pPr>
    </w:p>
    <w:p w:rsidR="00177207" w:rsidRDefault="00177207" w:rsidP="00D10C07">
      <w:pPr>
        <w:rPr>
          <w:rFonts w:cs="Arial"/>
          <w:b/>
          <w:color w:val="000000"/>
        </w:rPr>
      </w:pPr>
    </w:p>
    <w:p w:rsidR="00177207" w:rsidRDefault="00177207" w:rsidP="00D10C07">
      <w:pP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Authored </w:t>
      </w:r>
      <w:r w:rsidRPr="00F011AC">
        <w:rPr>
          <w:rFonts w:ascii="Times New Roman" w:eastAsia="Times New Roman" w:hAnsi="Times New Roman" w:cs="Times New Roman"/>
          <w:b/>
          <w:bCs/>
          <w:sz w:val="30"/>
          <w:szCs w:val="30"/>
        </w:rPr>
        <w:t xml:space="preserve">by: </w:t>
      </w:r>
      <w:proofErr w:type="spellStart"/>
      <w:r w:rsidRPr="00F011AC">
        <w:rPr>
          <w:rFonts w:ascii="Times New Roman" w:eastAsia="Times New Roman" w:hAnsi="Times New Roman" w:cs="Times New Roman"/>
          <w:b/>
          <w:bCs/>
          <w:sz w:val="30"/>
          <w:szCs w:val="30"/>
        </w:rPr>
        <w:t>Kipley</w:t>
      </w:r>
      <w:proofErr w:type="spellEnd"/>
      <w:r w:rsidRPr="00F011AC">
        <w:rPr>
          <w:rFonts w:ascii="Times New Roman" w:eastAsia="Times New Roman" w:hAnsi="Times New Roman" w:cs="Times New Roman"/>
          <w:b/>
          <w:bCs/>
          <w:sz w:val="30"/>
          <w:szCs w:val="30"/>
        </w:rPr>
        <w:t xml:space="preserve"> Lytel</w:t>
      </w:r>
      <w:r>
        <w:rPr>
          <w:rFonts w:ascii="Times New Roman" w:eastAsia="Times New Roman" w:hAnsi="Times New Roman" w:cs="Times New Roman"/>
          <w:b/>
          <w:bCs/>
          <w:sz w:val="30"/>
          <w:szCs w:val="30"/>
        </w:rPr>
        <w:t>, CFA</w:t>
      </w:r>
    </w:p>
    <w:p w:rsidR="00CC7E63" w:rsidRDefault="00CC7E63" w:rsidP="00FA24D0">
      <w:pPr>
        <w:rPr>
          <w:rFonts w:ascii="Verdana" w:hAnsi="Verdana" w:cs="Arial"/>
          <w:b/>
          <w:bCs/>
          <w:color w:val="360000"/>
          <w:kern w:val="36"/>
          <w:sz w:val="23"/>
          <w:szCs w:val="23"/>
          <w:lang/>
        </w:rPr>
      </w:pPr>
      <w:r>
        <w:rPr>
          <w:rFonts w:ascii="Verdana" w:hAnsi="Verdana" w:cs="Arial"/>
          <w:b/>
          <w:bCs/>
          <w:color w:val="360000"/>
          <w:kern w:val="36"/>
          <w:sz w:val="23"/>
          <w:szCs w:val="23"/>
          <w:lang/>
        </w:rPr>
        <w:t xml:space="preserve">Retiree Income Portfolios Hit Rough Patch: Why It's Happening </w:t>
      </w:r>
      <w:proofErr w:type="gramStart"/>
      <w:r>
        <w:rPr>
          <w:rFonts w:ascii="Verdana" w:hAnsi="Verdana" w:cs="Arial"/>
          <w:b/>
          <w:bCs/>
          <w:color w:val="360000"/>
          <w:kern w:val="36"/>
          <w:sz w:val="23"/>
          <w:szCs w:val="23"/>
          <w:lang/>
        </w:rPr>
        <w:t>And</w:t>
      </w:r>
      <w:proofErr w:type="gramEnd"/>
      <w:r>
        <w:rPr>
          <w:rFonts w:ascii="Verdana" w:hAnsi="Verdana" w:cs="Arial"/>
          <w:b/>
          <w:bCs/>
          <w:color w:val="360000"/>
          <w:kern w:val="36"/>
          <w:sz w:val="23"/>
          <w:szCs w:val="23"/>
          <w:lang/>
        </w:rPr>
        <w:t xml:space="preserve"> What To Do</w:t>
      </w:r>
    </w:p>
    <w:p w:rsidR="00CC7E63" w:rsidRPr="00CC7E63" w:rsidRDefault="00CC7E63" w:rsidP="00CC7E63">
      <w:pPr>
        <w:spacing w:before="150" w:after="75" w:line="195" w:lineRule="atLeast"/>
        <w:outlineLvl w:val="2"/>
        <w:rPr>
          <w:rFonts w:cstheme="minorHAnsi"/>
          <w:b/>
          <w:bCs/>
          <w:color w:val="000000"/>
          <w:sz w:val="24"/>
          <w:szCs w:val="24"/>
          <w:lang/>
        </w:rPr>
      </w:pPr>
      <w:r w:rsidRPr="00CC7E63">
        <w:rPr>
          <w:rFonts w:cstheme="minorHAnsi"/>
          <w:b/>
          <w:bCs/>
          <w:color w:val="000000"/>
          <w:sz w:val="24"/>
          <w:szCs w:val="24"/>
          <w:lang/>
        </w:rPr>
        <w:t>Summary</w:t>
      </w:r>
    </w:p>
    <w:p w:rsidR="00CC7E63" w:rsidRPr="00CC7E63" w:rsidRDefault="00CC7E63" w:rsidP="00CC7E63">
      <w:pPr>
        <w:pStyle w:val="ListParagraph"/>
        <w:numPr>
          <w:ilvl w:val="0"/>
          <w:numId w:val="1"/>
        </w:numPr>
        <w:spacing w:after="113" w:line="195" w:lineRule="atLeast"/>
        <w:rPr>
          <w:rFonts w:cstheme="minorHAnsi"/>
          <w:color w:val="000000"/>
          <w:sz w:val="24"/>
          <w:szCs w:val="24"/>
          <w:lang/>
        </w:rPr>
      </w:pPr>
      <w:r w:rsidRPr="00CC7E63">
        <w:rPr>
          <w:rFonts w:cstheme="minorHAnsi"/>
          <w:color w:val="000000"/>
          <w:sz w:val="24"/>
          <w:szCs w:val="24"/>
          <w:lang/>
        </w:rPr>
        <w:t>Three retiree portfolios facing different predicaments.</w:t>
      </w:r>
    </w:p>
    <w:p w:rsidR="00CC7E63" w:rsidRPr="00CC7E63" w:rsidRDefault="00CC7E63" w:rsidP="00CC7E63">
      <w:pPr>
        <w:pStyle w:val="ListParagraph"/>
        <w:numPr>
          <w:ilvl w:val="0"/>
          <w:numId w:val="1"/>
        </w:numPr>
        <w:spacing w:after="113" w:line="195" w:lineRule="atLeast"/>
        <w:rPr>
          <w:rFonts w:cstheme="minorHAnsi"/>
          <w:color w:val="000000"/>
          <w:sz w:val="24"/>
          <w:szCs w:val="24"/>
          <w:lang/>
        </w:rPr>
      </w:pPr>
      <w:r w:rsidRPr="00CC7E63">
        <w:rPr>
          <w:rFonts w:cstheme="minorHAnsi"/>
          <w:color w:val="000000"/>
          <w:sz w:val="24"/>
          <w:szCs w:val="24"/>
          <w:lang/>
        </w:rPr>
        <w:t>Which retiree portfolios are impacted by rotational asset flow shifts?</w:t>
      </w:r>
    </w:p>
    <w:p w:rsidR="00CC7E63" w:rsidRPr="00CC7E63" w:rsidRDefault="00CC7E63" w:rsidP="00CC7E63">
      <w:pPr>
        <w:pStyle w:val="ListParagraph"/>
        <w:numPr>
          <w:ilvl w:val="0"/>
          <w:numId w:val="1"/>
        </w:numPr>
        <w:spacing w:after="113" w:line="195" w:lineRule="atLeast"/>
        <w:rPr>
          <w:rFonts w:cstheme="minorHAnsi"/>
          <w:color w:val="000000"/>
          <w:sz w:val="24"/>
          <w:szCs w:val="24"/>
          <w:lang/>
        </w:rPr>
      </w:pPr>
      <w:r w:rsidRPr="00CC7E63">
        <w:rPr>
          <w:rFonts w:cstheme="minorHAnsi"/>
          <w:color w:val="000000"/>
          <w:sz w:val="24"/>
          <w:szCs w:val="24"/>
          <w:lang/>
        </w:rPr>
        <w:t>Macro events &amp; policy changes: What should Retirees do?</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Many retirees are scratching their heads as the equity markets continue hitting new highs given the traditional income portfolio for retirees have been comparably lackluster. Yet every time you turn on the TV, the media is talking about how the market is soaring (once again) to new highs.</w:t>
      </w:r>
    </w:p>
    <w:p w:rsidR="00CC7E63" w:rsidRPr="00CC7E63" w:rsidRDefault="00CC7E63" w:rsidP="00CC7E63">
      <w:pPr>
        <w:spacing w:after="113" w:line="195" w:lineRule="atLeast"/>
        <w:rPr>
          <w:rFonts w:cstheme="minorHAnsi"/>
          <w:color w:val="000000"/>
          <w:sz w:val="24"/>
          <w:szCs w:val="24"/>
          <w:lang/>
        </w:rPr>
      </w:pPr>
      <w:r>
        <w:rPr>
          <w:rFonts w:cstheme="minorHAnsi"/>
          <w:color w:val="000000"/>
          <w:sz w:val="24"/>
          <w:szCs w:val="24"/>
          <w:lang/>
        </w:rPr>
        <w:t>Why</w:t>
      </w:r>
      <w:r w:rsidRPr="00CC7E63">
        <w:rPr>
          <w:rFonts w:cstheme="minorHAnsi"/>
          <w:color w:val="000000"/>
          <w:sz w:val="24"/>
          <w:szCs w:val="24"/>
          <w:lang/>
        </w:rPr>
        <w:t xml:space="preserve"> aren't retirees participating and what should retirees do, if anything?</w:t>
      </w:r>
    </w:p>
    <w:p w:rsidR="00CC7E63" w:rsidRPr="00CC7E63" w:rsidRDefault="00CC7E63" w:rsidP="00CC7E63">
      <w:pPr>
        <w:spacing w:after="113" w:line="195" w:lineRule="atLeast"/>
        <w:rPr>
          <w:rFonts w:cstheme="minorHAnsi"/>
          <w:color w:val="000000"/>
          <w:sz w:val="24"/>
          <w:szCs w:val="24"/>
          <w:lang/>
        </w:rPr>
      </w:pPr>
      <w:r w:rsidRPr="00CC7E63">
        <w:rPr>
          <w:rFonts w:cstheme="minorHAnsi"/>
          <w:b/>
          <w:bCs/>
          <w:color w:val="000000"/>
          <w:sz w:val="24"/>
          <w:szCs w:val="24"/>
          <w:lang/>
        </w:rPr>
        <w:t>Three Retirement Portfolios Facing Different Predicaments</w:t>
      </w:r>
      <w:r w:rsidRPr="00CC7E63">
        <w:rPr>
          <w:rFonts w:cstheme="minorHAnsi"/>
          <w:color w:val="000000"/>
          <w:sz w:val="24"/>
          <w:szCs w:val="24"/>
          <w:lang/>
        </w:rPr>
        <w:t>:</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First, a retiree portfolio can take many forms from 1) mostly just bonds, or 2) balanced dividend stocks/ETFs together with bonds, or 3) diverse income asset classes. For those retirees unfortunate to have been largely allocated to only bonds, this allocation has taken the biggest hit over the past several weeks. While many advisors have recommended that retirees diversify their sources of required income with portfolio growth components to offset the risk of inflation and rising rates, many retirees still hold 100% bonds.</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 xml:space="preserve">Unfortunately holders of a mix of different bond categories like Treasuries, Municipals and/or </w:t>
      </w:r>
      <w:proofErr w:type="spellStart"/>
      <w:r w:rsidRPr="00CC7E63">
        <w:rPr>
          <w:rFonts w:cstheme="minorHAnsi"/>
          <w:color w:val="000000"/>
          <w:sz w:val="24"/>
          <w:szCs w:val="24"/>
          <w:lang/>
        </w:rPr>
        <w:t>Corporates</w:t>
      </w:r>
      <w:proofErr w:type="spellEnd"/>
      <w:r w:rsidRPr="00CC7E63">
        <w:rPr>
          <w:rFonts w:cstheme="minorHAnsi"/>
          <w:color w:val="000000"/>
          <w:sz w:val="24"/>
          <w:szCs w:val="24"/>
          <w:lang/>
        </w:rPr>
        <w:t xml:space="preserve"> are suffering with their portfolio barely treading water year-to-date: SPDR Barclays Municipal Bond (</w:t>
      </w:r>
      <w:hyperlink r:id="rId7" w:history="1">
        <w:r w:rsidRPr="00CC7E63">
          <w:rPr>
            <w:rStyle w:val="Hyperlink"/>
            <w:rFonts w:cstheme="minorHAnsi"/>
            <w:sz w:val="24"/>
            <w:szCs w:val="24"/>
            <w:lang/>
          </w:rPr>
          <w:t>TFI</w:t>
        </w:r>
      </w:hyperlink>
      <w:r w:rsidRPr="00CC7E63">
        <w:rPr>
          <w:rFonts w:cstheme="minorHAnsi"/>
          <w:color w:val="000000"/>
          <w:sz w:val="24"/>
          <w:szCs w:val="24"/>
          <w:lang/>
        </w:rPr>
        <w:t xml:space="preserve">) -1.09, </w:t>
      </w:r>
      <w:proofErr w:type="spellStart"/>
      <w:r w:rsidRPr="00CC7E63">
        <w:rPr>
          <w:rFonts w:cstheme="minorHAnsi"/>
          <w:color w:val="000000"/>
          <w:sz w:val="24"/>
          <w:szCs w:val="24"/>
          <w:lang/>
        </w:rPr>
        <w:t>iShares</w:t>
      </w:r>
      <w:proofErr w:type="spellEnd"/>
      <w:r w:rsidRPr="00CC7E63">
        <w:rPr>
          <w:rFonts w:cstheme="minorHAnsi"/>
          <w:color w:val="000000"/>
          <w:sz w:val="24"/>
          <w:szCs w:val="24"/>
          <w:lang/>
        </w:rPr>
        <w:t xml:space="preserve"> Core U.S. Aggregate Bond ETF (NYSEARCA:</w:t>
      </w:r>
      <w:hyperlink r:id="rId8" w:history="1">
        <w:r w:rsidRPr="00CC7E63">
          <w:rPr>
            <w:rStyle w:val="Hyperlink"/>
            <w:rFonts w:cstheme="minorHAnsi"/>
            <w:sz w:val="24"/>
            <w:szCs w:val="24"/>
            <w:lang/>
          </w:rPr>
          <w:t>AGG</w:t>
        </w:r>
      </w:hyperlink>
      <w:r w:rsidRPr="00CC7E63">
        <w:rPr>
          <w:rFonts w:cstheme="minorHAnsi"/>
          <w:color w:val="000000"/>
          <w:sz w:val="24"/>
          <w:szCs w:val="24"/>
          <w:lang/>
        </w:rPr>
        <w:t xml:space="preserve">) +1.45% and </w:t>
      </w:r>
      <w:proofErr w:type="spellStart"/>
      <w:r w:rsidRPr="00CC7E63">
        <w:rPr>
          <w:rFonts w:cstheme="minorHAnsi"/>
          <w:color w:val="000000"/>
          <w:sz w:val="24"/>
          <w:szCs w:val="24"/>
          <w:lang/>
        </w:rPr>
        <w:t>iShares</w:t>
      </w:r>
      <w:proofErr w:type="spellEnd"/>
      <w:r w:rsidRPr="00CC7E63">
        <w:rPr>
          <w:rFonts w:cstheme="minorHAnsi"/>
          <w:color w:val="000000"/>
          <w:sz w:val="24"/>
          <w:szCs w:val="24"/>
          <w:lang/>
        </w:rPr>
        <w:t xml:space="preserve"> U.S. Treasury Bond ETF (NYSEARCA:</w:t>
      </w:r>
      <w:hyperlink r:id="rId9" w:history="1">
        <w:r w:rsidRPr="00CC7E63">
          <w:rPr>
            <w:rStyle w:val="Hyperlink"/>
            <w:rFonts w:cstheme="minorHAnsi"/>
            <w:sz w:val="24"/>
            <w:szCs w:val="24"/>
            <w:lang/>
          </w:rPr>
          <w:t>GOVT</w:t>
        </w:r>
      </w:hyperlink>
      <w:r w:rsidRPr="00CC7E63">
        <w:rPr>
          <w:rFonts w:cstheme="minorHAnsi"/>
          <w:color w:val="000000"/>
          <w:sz w:val="24"/>
          <w:szCs w:val="24"/>
          <w:lang/>
        </w:rPr>
        <w:t>) +0.10%. Thus, it is important to identify what is working with retirees given a high concentration portfolio of bonds clearly isn't anymore.</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Second, for those retiree portfolios holding a more balanced allocation of both high dividend stocks or dividend ETFs together with bonds have certainly fared better than those holding just bonds, but the amount of superior relative returns depends on what type of equity dividend stocks your portfolio is exposed. For example, traditional sources of high dividends for retirees have been stable industry/sectors such as Consumer Staples and Healthcare, but these sectors aren't participating in the current bull market.</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Indeed, while the S&amp;P 500 (NYSEARCA:</w:t>
      </w:r>
      <w:hyperlink r:id="rId10" w:history="1">
        <w:r w:rsidRPr="00CC7E63">
          <w:rPr>
            <w:rStyle w:val="Hyperlink"/>
            <w:rFonts w:cstheme="minorHAnsi"/>
            <w:sz w:val="24"/>
            <w:szCs w:val="24"/>
            <w:lang/>
          </w:rPr>
          <w:t>SPY</w:t>
        </w:r>
      </w:hyperlink>
      <w:r w:rsidRPr="00CC7E63">
        <w:rPr>
          <w:rFonts w:cstheme="minorHAnsi"/>
          <w:color w:val="000000"/>
          <w:sz w:val="24"/>
          <w:szCs w:val="24"/>
          <w:lang/>
        </w:rPr>
        <w:t xml:space="preserve">) is currently up over +12.5% year-to-date, in contrast individual stock dividend favorites for stability have been exposed to lackluster sector </w:t>
      </w:r>
      <w:r w:rsidRPr="00CC7E63">
        <w:rPr>
          <w:rFonts w:cstheme="minorHAnsi"/>
          <w:color w:val="000000"/>
          <w:sz w:val="24"/>
          <w:szCs w:val="24"/>
          <w:lang/>
        </w:rPr>
        <w:lastRenderedPageBreak/>
        <w:t>weakness such as in Consumer Staples Sector (NYSEARCA:</w:t>
      </w:r>
      <w:hyperlink r:id="rId11" w:history="1">
        <w:r w:rsidRPr="00CC7E63">
          <w:rPr>
            <w:rStyle w:val="Hyperlink"/>
            <w:rFonts w:cstheme="minorHAnsi"/>
            <w:sz w:val="24"/>
            <w:szCs w:val="24"/>
            <w:lang/>
          </w:rPr>
          <w:t>XLP</w:t>
        </w:r>
      </w:hyperlink>
      <w:r w:rsidRPr="00CC7E63">
        <w:rPr>
          <w:rFonts w:cstheme="minorHAnsi"/>
          <w:color w:val="000000"/>
          <w:sz w:val="24"/>
          <w:szCs w:val="24"/>
          <w:lang/>
        </w:rPr>
        <w:t>) which is up by only +4.63% and the Health Care Sector (NYSEARCA:</w:t>
      </w:r>
      <w:hyperlink r:id="rId12" w:history="1">
        <w:r w:rsidRPr="00CC7E63">
          <w:rPr>
            <w:rStyle w:val="Hyperlink"/>
            <w:rFonts w:cstheme="minorHAnsi"/>
            <w:sz w:val="24"/>
            <w:szCs w:val="24"/>
            <w:lang/>
          </w:rPr>
          <w:t>XLV</w:t>
        </w:r>
      </w:hyperlink>
      <w:r w:rsidRPr="00CC7E63">
        <w:rPr>
          <w:rFonts w:cstheme="minorHAnsi"/>
          <w:color w:val="000000"/>
          <w:sz w:val="24"/>
          <w:szCs w:val="24"/>
          <w:lang/>
        </w:rPr>
        <w:t>) which is down -2.6%. Here, retirees would fare better with broader index of high dividend ETFs, such as the largest player being Vanguard Dividend Appreciation Index Fund ETF Shares (NYSEARCA</w:t>
      </w:r>
      <w:proofErr w:type="gramStart"/>
      <w:r w:rsidRPr="00CC7E63">
        <w:rPr>
          <w:rFonts w:cstheme="minorHAnsi"/>
          <w:color w:val="000000"/>
          <w:sz w:val="24"/>
          <w:szCs w:val="24"/>
          <w:lang/>
        </w:rPr>
        <w:t>:</w:t>
      </w:r>
      <w:proofErr w:type="gramEnd"/>
      <w:r w:rsidRPr="00CC7E63">
        <w:rPr>
          <w:rFonts w:cstheme="minorHAnsi"/>
          <w:color w:val="000000"/>
          <w:sz w:val="24"/>
          <w:szCs w:val="24"/>
          <w:lang/>
        </w:rPr>
        <w:fldChar w:fldCharType="begin"/>
      </w:r>
      <w:r w:rsidRPr="00CC7E63">
        <w:rPr>
          <w:rFonts w:cstheme="minorHAnsi"/>
          <w:color w:val="000000"/>
          <w:sz w:val="24"/>
          <w:szCs w:val="24"/>
          <w:lang/>
        </w:rPr>
        <w:instrText xml:space="preserve"> HYPERLINK "http://seekingalpha.com/symbol/VIG" </w:instrText>
      </w:r>
      <w:r w:rsidRPr="00CC7E63">
        <w:rPr>
          <w:rFonts w:cstheme="minorHAnsi"/>
          <w:color w:val="000000"/>
          <w:sz w:val="24"/>
          <w:szCs w:val="24"/>
          <w:lang/>
        </w:rPr>
        <w:fldChar w:fldCharType="separate"/>
      </w:r>
      <w:r w:rsidRPr="00CC7E63">
        <w:rPr>
          <w:rStyle w:val="Hyperlink"/>
          <w:rFonts w:cstheme="minorHAnsi"/>
          <w:sz w:val="24"/>
          <w:szCs w:val="24"/>
          <w:lang/>
        </w:rPr>
        <w:t>VIG</w:t>
      </w:r>
      <w:r w:rsidRPr="00CC7E63">
        <w:rPr>
          <w:rFonts w:cstheme="minorHAnsi"/>
          <w:color w:val="000000"/>
          <w:sz w:val="24"/>
          <w:szCs w:val="24"/>
          <w:lang/>
        </w:rPr>
        <w:fldChar w:fldCharType="end"/>
      </w:r>
      <w:r w:rsidRPr="00CC7E63">
        <w:rPr>
          <w:rFonts w:cstheme="minorHAnsi"/>
          <w:color w:val="000000"/>
          <w:sz w:val="24"/>
          <w:szCs w:val="24"/>
          <w:lang/>
        </w:rPr>
        <w:t>), which is up around +12.5%.</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 xml:space="preserve">With a more balanced portfolio a retiree would essentially be flat on the bonds, but with </w:t>
      </w:r>
      <w:proofErr w:type="gramStart"/>
      <w:r w:rsidRPr="00CC7E63">
        <w:rPr>
          <w:rFonts w:cstheme="minorHAnsi"/>
          <w:color w:val="000000"/>
          <w:sz w:val="24"/>
          <w:szCs w:val="24"/>
          <w:lang/>
        </w:rPr>
        <w:t>a dividend</w:t>
      </w:r>
      <w:proofErr w:type="gramEnd"/>
      <w:r w:rsidRPr="00CC7E63">
        <w:rPr>
          <w:rFonts w:cstheme="minorHAnsi"/>
          <w:color w:val="000000"/>
          <w:sz w:val="24"/>
          <w:szCs w:val="24"/>
          <w:lang/>
        </w:rPr>
        <w:t xml:space="preserve"> equity ETF they would largely mirror the S&amp;P 500 for that allocation weighting. The combined allocation should at least be showing mid-single digit positive traction for that type of allocation this year. However, for many retirees with higher weightings to typically safer dividend stock plays like Consumer Staples and Healthcare, then their portfolios are probably rather more muted for returns versus a diversified dividend ETF for the equity component.</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 xml:space="preserve">Third, those retirees holding a diverse source of retiree income - including bonds, preferred stock, REITS and MLPs - are likely experiencing portfolio growth, but underperforming the more traditional balanced portfolio of a high dividend ETF combined with diverse bonds. For example, portfolios holding other asset classes such as </w:t>
      </w:r>
      <w:proofErr w:type="spellStart"/>
      <w:r w:rsidRPr="00CC7E63">
        <w:rPr>
          <w:rFonts w:cstheme="minorHAnsi"/>
          <w:color w:val="000000"/>
          <w:sz w:val="24"/>
          <w:szCs w:val="24"/>
          <w:lang/>
        </w:rPr>
        <w:t>iShares</w:t>
      </w:r>
      <w:proofErr w:type="spellEnd"/>
      <w:r w:rsidRPr="00CC7E63">
        <w:rPr>
          <w:rFonts w:cstheme="minorHAnsi"/>
          <w:color w:val="000000"/>
          <w:sz w:val="24"/>
          <w:szCs w:val="24"/>
          <w:lang/>
        </w:rPr>
        <w:t xml:space="preserve"> U.S. Preferred Stock ETF (NYSEARCA:</w:t>
      </w:r>
      <w:hyperlink r:id="rId13" w:history="1">
        <w:r w:rsidRPr="00CC7E63">
          <w:rPr>
            <w:rStyle w:val="Hyperlink"/>
            <w:rFonts w:cstheme="minorHAnsi"/>
            <w:sz w:val="24"/>
            <w:szCs w:val="24"/>
            <w:lang/>
          </w:rPr>
          <w:t>PFF</w:t>
        </w:r>
      </w:hyperlink>
      <w:r w:rsidRPr="00CC7E63">
        <w:rPr>
          <w:rFonts w:cstheme="minorHAnsi"/>
          <w:color w:val="000000"/>
          <w:sz w:val="24"/>
          <w:szCs w:val="24"/>
          <w:lang/>
        </w:rPr>
        <w:t xml:space="preserve">), </w:t>
      </w:r>
      <w:proofErr w:type="spellStart"/>
      <w:r w:rsidRPr="00CC7E63">
        <w:rPr>
          <w:rFonts w:cstheme="minorHAnsi"/>
          <w:color w:val="000000"/>
          <w:sz w:val="24"/>
          <w:szCs w:val="24"/>
          <w:lang/>
        </w:rPr>
        <w:t>Alerian</w:t>
      </w:r>
      <w:proofErr w:type="spellEnd"/>
      <w:r w:rsidRPr="00CC7E63">
        <w:rPr>
          <w:rFonts w:cstheme="minorHAnsi"/>
          <w:color w:val="000000"/>
          <w:sz w:val="24"/>
          <w:szCs w:val="24"/>
          <w:lang/>
        </w:rPr>
        <w:t xml:space="preserve"> MLP ETF (NYSEARCA:</w:t>
      </w:r>
      <w:hyperlink r:id="rId14" w:history="1">
        <w:r w:rsidRPr="00CC7E63">
          <w:rPr>
            <w:rStyle w:val="Hyperlink"/>
            <w:rFonts w:cstheme="minorHAnsi"/>
            <w:sz w:val="24"/>
            <w:szCs w:val="24"/>
            <w:lang/>
          </w:rPr>
          <w:t>AMLP</w:t>
        </w:r>
      </w:hyperlink>
      <w:r w:rsidRPr="00CC7E63">
        <w:rPr>
          <w:rFonts w:cstheme="minorHAnsi"/>
          <w:color w:val="000000"/>
          <w:sz w:val="24"/>
          <w:szCs w:val="24"/>
          <w:lang/>
        </w:rPr>
        <w:t>) and Vanguard REIT Index Fund ETF Shares (NYSEARCA:</w:t>
      </w:r>
      <w:hyperlink r:id="rId15" w:history="1">
        <w:r w:rsidRPr="00CC7E63">
          <w:rPr>
            <w:rStyle w:val="Hyperlink"/>
            <w:rFonts w:cstheme="minorHAnsi"/>
            <w:sz w:val="24"/>
            <w:szCs w:val="24"/>
            <w:lang/>
          </w:rPr>
          <w:t>VNQ</w:t>
        </w:r>
      </w:hyperlink>
      <w:r w:rsidRPr="00CC7E63">
        <w:rPr>
          <w:rFonts w:cstheme="minorHAnsi"/>
          <w:color w:val="000000"/>
          <w:sz w:val="24"/>
          <w:szCs w:val="24"/>
          <w:lang/>
        </w:rPr>
        <w:t>), which have returned -0.08%, +10.8% and +5.5%, respectfully, year-to-date would have outperformed the retiree 100% bond portfolio, but underperformed the balanced portfolio of bonds and dividend ETFs.</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The takeaway is that any of the three scenarios would engender a return that would certainly not be as robust as the S&amp;P 500 and this is why retirees might be feeling frustration as the media hypes all the equity index new highs. Also, some retirees might also be questioning if their stable stocks are the right choice, since certain equity sectors such as Healthcare and Consumer Staples have been lackluster compared to the S&amp;P 500. Should they chase returns, following the money sector rotation? Let's look under the hood of the S&amp;P 500.</w:t>
      </w:r>
    </w:p>
    <w:p w:rsidR="00CC7E63" w:rsidRPr="00CC7E63" w:rsidRDefault="00CC7E63" w:rsidP="00CC7E63">
      <w:pPr>
        <w:spacing w:after="113" w:line="195" w:lineRule="atLeast"/>
        <w:rPr>
          <w:rFonts w:cstheme="minorHAnsi"/>
          <w:color w:val="000000"/>
          <w:sz w:val="24"/>
          <w:szCs w:val="24"/>
          <w:lang/>
        </w:rPr>
      </w:pPr>
      <w:r w:rsidRPr="00CC7E63">
        <w:rPr>
          <w:rFonts w:cstheme="minorHAnsi"/>
          <w:b/>
          <w:bCs/>
          <w:color w:val="000000"/>
          <w:sz w:val="24"/>
          <w:szCs w:val="24"/>
          <w:lang/>
        </w:rPr>
        <w:t>Which Retiree Portfolios are Impacted by Rotational Asset Movements</w:t>
      </w:r>
      <w:r w:rsidRPr="00CC7E63">
        <w:rPr>
          <w:rFonts w:cstheme="minorHAnsi"/>
          <w:color w:val="000000"/>
          <w:sz w:val="24"/>
          <w:szCs w:val="24"/>
          <w:lang/>
        </w:rPr>
        <w:t>?</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The S&amp;P 500 currently has clear sector winners, losers and benchwarmers. Also, there has been a rotation of money flows from certain sectors to areas that investors perceive will benefit from higher interest rates and the Trump administration investment plan. For example, equity sector beneficiaries from Trump's proposed $1 trillion investment in infrastructure have been Energy, Basic Materials and Industrials, which are marked by a +28.9% move of Energy Select Sector SPDR Fund (NYSEARCA:</w:t>
      </w:r>
      <w:hyperlink r:id="rId16" w:history="1">
        <w:r w:rsidRPr="00CC7E63">
          <w:rPr>
            <w:rStyle w:val="Hyperlink"/>
            <w:rFonts w:cstheme="minorHAnsi"/>
            <w:sz w:val="24"/>
            <w:szCs w:val="24"/>
            <w:lang/>
          </w:rPr>
          <w:t>XLE</w:t>
        </w:r>
      </w:hyperlink>
      <w:r w:rsidRPr="00CC7E63">
        <w:rPr>
          <w:rFonts w:cstheme="minorHAnsi"/>
          <w:color w:val="000000"/>
          <w:sz w:val="24"/>
          <w:szCs w:val="24"/>
          <w:lang/>
        </w:rPr>
        <w:t>), +18.1% increase by Materials Select Sector SPDR® Fund (NYSEARCA:</w:t>
      </w:r>
      <w:hyperlink r:id="rId17" w:history="1">
        <w:r w:rsidRPr="00CC7E63">
          <w:rPr>
            <w:rStyle w:val="Hyperlink"/>
            <w:rFonts w:cstheme="minorHAnsi"/>
            <w:sz w:val="24"/>
            <w:szCs w:val="24"/>
            <w:lang/>
          </w:rPr>
          <w:t>XLB</w:t>
        </w:r>
      </w:hyperlink>
      <w:r w:rsidRPr="00CC7E63">
        <w:rPr>
          <w:rFonts w:cstheme="minorHAnsi"/>
          <w:color w:val="000000"/>
          <w:sz w:val="24"/>
          <w:szCs w:val="24"/>
          <w:lang/>
        </w:rPr>
        <w:t>) and +20.8 lift in the Industrial Select Sector SPDR® Fund (NYSEARCA:</w:t>
      </w:r>
      <w:hyperlink r:id="rId18" w:history="1">
        <w:r w:rsidRPr="00CC7E63">
          <w:rPr>
            <w:rStyle w:val="Hyperlink"/>
            <w:rFonts w:cstheme="minorHAnsi"/>
            <w:sz w:val="24"/>
            <w:szCs w:val="24"/>
            <w:lang/>
          </w:rPr>
          <w:t>XLI</w:t>
        </w:r>
      </w:hyperlink>
      <w:r w:rsidRPr="00CC7E63">
        <w:rPr>
          <w:rFonts w:cstheme="minorHAnsi"/>
          <w:color w:val="000000"/>
          <w:sz w:val="24"/>
          <w:szCs w:val="24"/>
          <w:lang/>
        </w:rPr>
        <w:t>) year-to-date. There will also be sectors that benefit from the expected rising rates such as Financials, with the Financial Select Sector SPDR (NYSEARCA</w:t>
      </w:r>
      <w:proofErr w:type="gramStart"/>
      <w:r w:rsidRPr="00CC7E63">
        <w:rPr>
          <w:rFonts w:cstheme="minorHAnsi"/>
          <w:color w:val="000000"/>
          <w:sz w:val="24"/>
          <w:szCs w:val="24"/>
          <w:lang/>
        </w:rPr>
        <w:t>:</w:t>
      </w:r>
      <w:proofErr w:type="gramEnd"/>
      <w:r w:rsidRPr="00CC7E63">
        <w:rPr>
          <w:rFonts w:cstheme="minorHAnsi"/>
          <w:color w:val="000000"/>
          <w:sz w:val="24"/>
          <w:szCs w:val="24"/>
          <w:lang/>
        </w:rPr>
        <w:fldChar w:fldCharType="begin"/>
      </w:r>
      <w:r w:rsidRPr="00CC7E63">
        <w:rPr>
          <w:rFonts w:cstheme="minorHAnsi"/>
          <w:color w:val="000000"/>
          <w:sz w:val="24"/>
          <w:szCs w:val="24"/>
          <w:lang/>
        </w:rPr>
        <w:instrText xml:space="preserve"> HYPERLINK "http://seekingalpha.com/symbol/XLF" </w:instrText>
      </w:r>
      <w:r w:rsidRPr="00CC7E63">
        <w:rPr>
          <w:rFonts w:cstheme="minorHAnsi"/>
          <w:color w:val="000000"/>
          <w:sz w:val="24"/>
          <w:szCs w:val="24"/>
          <w:lang/>
        </w:rPr>
        <w:fldChar w:fldCharType="separate"/>
      </w:r>
      <w:r w:rsidRPr="00CC7E63">
        <w:rPr>
          <w:rStyle w:val="Hyperlink"/>
          <w:rFonts w:cstheme="minorHAnsi"/>
          <w:sz w:val="24"/>
          <w:szCs w:val="24"/>
          <w:lang/>
        </w:rPr>
        <w:t>XLF</w:t>
      </w:r>
      <w:r w:rsidRPr="00CC7E63">
        <w:rPr>
          <w:rFonts w:cstheme="minorHAnsi"/>
          <w:color w:val="000000"/>
          <w:sz w:val="24"/>
          <w:szCs w:val="24"/>
          <w:lang/>
        </w:rPr>
        <w:fldChar w:fldCharType="end"/>
      </w:r>
      <w:r w:rsidRPr="00CC7E63">
        <w:rPr>
          <w:rFonts w:cstheme="minorHAnsi"/>
          <w:color w:val="000000"/>
          <w:sz w:val="24"/>
          <w:szCs w:val="24"/>
          <w:lang/>
        </w:rPr>
        <w:t>) up +23.2% for the year.</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 xml:space="preserve">The relative performance losers have been the traditional safer stable dividend stocks in which we highlighted, such as Healthcare and Consumer Staples. Everything in-between </w:t>
      </w:r>
      <w:proofErr w:type="gramStart"/>
      <w:r w:rsidRPr="00CC7E63">
        <w:rPr>
          <w:rFonts w:cstheme="minorHAnsi"/>
          <w:color w:val="000000"/>
          <w:sz w:val="24"/>
          <w:szCs w:val="24"/>
          <w:lang/>
        </w:rPr>
        <w:t>have</w:t>
      </w:r>
      <w:proofErr w:type="gramEnd"/>
      <w:r w:rsidRPr="00CC7E63">
        <w:rPr>
          <w:rFonts w:cstheme="minorHAnsi"/>
          <w:color w:val="000000"/>
          <w:sz w:val="24"/>
          <w:szCs w:val="24"/>
          <w:lang/>
        </w:rPr>
        <w:t xml:space="preserve"> largely been benchwarmers riding the overall ETF equity index inflow. Another important considerations is that past underperformers like small cap value ETFs (NYSEARCA</w:t>
      </w:r>
      <w:proofErr w:type="gramStart"/>
      <w:r w:rsidRPr="00CC7E63">
        <w:rPr>
          <w:rFonts w:cstheme="minorHAnsi"/>
          <w:color w:val="000000"/>
          <w:sz w:val="24"/>
          <w:szCs w:val="24"/>
          <w:lang/>
        </w:rPr>
        <w:t>:</w:t>
      </w:r>
      <w:proofErr w:type="gramEnd"/>
      <w:hyperlink r:id="rId19" w:history="1">
        <w:r w:rsidRPr="00CC7E63">
          <w:rPr>
            <w:rStyle w:val="Hyperlink"/>
            <w:rFonts w:cstheme="minorHAnsi"/>
            <w:sz w:val="24"/>
            <w:szCs w:val="24"/>
            <w:lang/>
          </w:rPr>
          <w:t>RZV</w:t>
        </w:r>
      </w:hyperlink>
      <w:r w:rsidRPr="00CC7E63">
        <w:rPr>
          <w:rFonts w:cstheme="minorHAnsi"/>
          <w:color w:val="000000"/>
          <w:sz w:val="24"/>
          <w:szCs w:val="24"/>
          <w:lang/>
        </w:rPr>
        <w:t>) have had a big resurgence this year with their move up over +35% whereas large cap growth (NYSEARCA:</w:t>
      </w:r>
      <w:hyperlink r:id="rId20" w:history="1">
        <w:r w:rsidRPr="00CC7E63">
          <w:rPr>
            <w:rStyle w:val="Hyperlink"/>
            <w:rFonts w:cstheme="minorHAnsi"/>
            <w:sz w:val="24"/>
            <w:szCs w:val="24"/>
            <w:lang/>
          </w:rPr>
          <w:t>JKE</w:t>
        </w:r>
      </w:hyperlink>
      <w:r w:rsidRPr="00CC7E63">
        <w:rPr>
          <w:rFonts w:cstheme="minorHAnsi"/>
          <w:color w:val="000000"/>
          <w:sz w:val="24"/>
          <w:szCs w:val="24"/>
          <w:lang/>
        </w:rPr>
        <w:t>) ETFs have underperformed with a mere +2.7% year-to-date; this could also be hurting retirees since their portfolios tend to have a bias toward large caps.</w:t>
      </w:r>
    </w:p>
    <w:p w:rsidR="00CC7E63" w:rsidRPr="00CC7E63" w:rsidRDefault="00CC7E63" w:rsidP="00CC7E63">
      <w:pPr>
        <w:spacing w:after="113" w:line="195" w:lineRule="atLeast"/>
        <w:rPr>
          <w:rFonts w:cstheme="minorHAnsi"/>
          <w:color w:val="000000"/>
          <w:sz w:val="24"/>
          <w:szCs w:val="24"/>
          <w:lang/>
        </w:rPr>
      </w:pPr>
      <w:r w:rsidRPr="00CC7E63">
        <w:rPr>
          <w:rFonts w:cstheme="minorHAnsi"/>
          <w:b/>
          <w:bCs/>
          <w:color w:val="000000"/>
          <w:sz w:val="24"/>
          <w:szCs w:val="24"/>
          <w:lang/>
        </w:rPr>
        <w:t>Macro Events &amp; Policy Changes: What Should Retirees Do?</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lastRenderedPageBreak/>
        <w:t>Given the macro events and several investment considerations, should the retiree make portfolio adjustments given prospective economic, Fed policies and income needs? The answer is not linear for all three portfolio scenarios. For instance, if a retiree is holding bond-only portfolio for safety and guaranteed income needs, then that portfolio may not be so safe anymore given inflation has been rising and Fed rates are increasing, both which place two loss scenarios on bonds: 1) inflation reduces purchasing power of the income from bonds and 2) higher rates typically has an adverse impact on bond prices given prevailing bond yields would often be higher than when you purchased those bonds (but if you locked in good yields on individual bonds and hold to maturity that isn't too far out, you should be fine). Thus, the outlook of holding principally an investment grade bond portfolio is not bright.</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However, having diverse bonds with an average maturity that is not too far out on the yield curve together with a dividend ETF should not require any material tactical adjustments and certainly should not follow the hot money trends; though, you may want to have even shorter maturities with the prospects of rising rates.</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For those retirees holding higher equity weightings to Consumer Staples and Healthcare for the long-run then these retiree still may benefit from a rebound down the road; particularly, if Trump doesn't get the $1 trillion dollars for his infrastructure bonanza.</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With regard to retirees that hold a portfolio of diverse income sources, those investors may want to lighten up on REITs given rising rates, but the long-term retiree investor holding preferred equities and MLPs with reasonable allocations to both should not worry about making material changes.</w:t>
      </w:r>
    </w:p>
    <w:p w:rsidR="00CC7E63" w:rsidRPr="00CC7E63" w:rsidRDefault="00CC7E63" w:rsidP="00CC7E63">
      <w:pPr>
        <w:spacing w:after="113" w:line="195" w:lineRule="atLeast"/>
        <w:rPr>
          <w:rFonts w:cstheme="minorHAnsi"/>
          <w:color w:val="000000"/>
          <w:sz w:val="24"/>
          <w:szCs w:val="24"/>
          <w:lang/>
        </w:rPr>
      </w:pPr>
      <w:r w:rsidRPr="00CC7E63">
        <w:rPr>
          <w:rFonts w:cstheme="minorHAnsi"/>
          <w:color w:val="000000"/>
          <w:sz w:val="24"/>
          <w:szCs w:val="24"/>
          <w:lang/>
        </w:rPr>
        <w:t>The takeaway is if you are holding any of these three retiree portfolios then you are not fully participating in the hyperbola and media hype blitz of go-go times associated with the skyrocketing stock market. Insofar as this may be tough medicine to take in the short-term, as long as a retiree's holding period is over 5 years and your income needs are being served with some level growth component in your portfolio, then the market will likely normalize and recalibrate back toward the traditional safe harbor yielding equity plays down the road. After all, with about 85 million baby boomers continuing their shift into retirement then there should be strong secular support of money flows toward equity dividend income investments which should bode well for the long-term prospects of many high dividend stocks that have been staples for retiree portfolios.</w:t>
      </w:r>
    </w:p>
    <w:p w:rsidR="00425181" w:rsidRPr="00CC7E63" w:rsidRDefault="00425181" w:rsidP="00CC7E63">
      <w:pPr>
        <w:rPr>
          <w:rFonts w:cstheme="minorHAnsi"/>
          <w:color w:val="000000"/>
          <w:sz w:val="24"/>
          <w:szCs w:val="24"/>
        </w:rPr>
      </w:pPr>
    </w:p>
    <w:p w:rsidR="00CC7E63" w:rsidRPr="00CC7E63" w:rsidRDefault="00CC7E63">
      <w:pPr>
        <w:rPr>
          <w:rFonts w:cstheme="minorHAnsi"/>
          <w:color w:val="000000"/>
          <w:sz w:val="24"/>
          <w:szCs w:val="24"/>
        </w:rPr>
      </w:pPr>
    </w:p>
    <w:sectPr w:rsidR="00CC7E63" w:rsidRPr="00CC7E63" w:rsidSect="00CC7E63">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D0A06"/>
    <w:multiLevelType w:val="hybridMultilevel"/>
    <w:tmpl w:val="62E6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1D28B2"/>
    <w:rsid w:val="00000056"/>
    <w:rsid w:val="000022BA"/>
    <w:rsid w:val="000042F3"/>
    <w:rsid w:val="000105B3"/>
    <w:rsid w:val="0001272C"/>
    <w:rsid w:val="0001477A"/>
    <w:rsid w:val="000173F9"/>
    <w:rsid w:val="000178AE"/>
    <w:rsid w:val="0002129C"/>
    <w:rsid w:val="00023779"/>
    <w:rsid w:val="000252CE"/>
    <w:rsid w:val="00030E6B"/>
    <w:rsid w:val="00033003"/>
    <w:rsid w:val="00033645"/>
    <w:rsid w:val="000356AF"/>
    <w:rsid w:val="00035B58"/>
    <w:rsid w:val="00036008"/>
    <w:rsid w:val="00037E65"/>
    <w:rsid w:val="00040204"/>
    <w:rsid w:val="00043AB2"/>
    <w:rsid w:val="0004436F"/>
    <w:rsid w:val="000444D2"/>
    <w:rsid w:val="00047DF9"/>
    <w:rsid w:val="000604F8"/>
    <w:rsid w:val="00064226"/>
    <w:rsid w:val="00065B5C"/>
    <w:rsid w:val="00066527"/>
    <w:rsid w:val="0007589F"/>
    <w:rsid w:val="00075D6F"/>
    <w:rsid w:val="00076C12"/>
    <w:rsid w:val="000845BB"/>
    <w:rsid w:val="00085240"/>
    <w:rsid w:val="00087476"/>
    <w:rsid w:val="000A0CA7"/>
    <w:rsid w:val="000A3899"/>
    <w:rsid w:val="000A63C1"/>
    <w:rsid w:val="000A6B9F"/>
    <w:rsid w:val="000B373D"/>
    <w:rsid w:val="000B7F85"/>
    <w:rsid w:val="000C0032"/>
    <w:rsid w:val="000C01B8"/>
    <w:rsid w:val="000C1C1E"/>
    <w:rsid w:val="000C1E52"/>
    <w:rsid w:val="000C33A6"/>
    <w:rsid w:val="000C3D1A"/>
    <w:rsid w:val="000C5715"/>
    <w:rsid w:val="000C6A86"/>
    <w:rsid w:val="000C7963"/>
    <w:rsid w:val="000D0F41"/>
    <w:rsid w:val="000D326B"/>
    <w:rsid w:val="000D3F1A"/>
    <w:rsid w:val="000D4974"/>
    <w:rsid w:val="000D52B3"/>
    <w:rsid w:val="000D54B2"/>
    <w:rsid w:val="000D72BA"/>
    <w:rsid w:val="000E0AE6"/>
    <w:rsid w:val="000E1798"/>
    <w:rsid w:val="000E1B15"/>
    <w:rsid w:val="000E1F4C"/>
    <w:rsid w:val="000E2195"/>
    <w:rsid w:val="000E58FE"/>
    <w:rsid w:val="000F1AC2"/>
    <w:rsid w:val="000F208D"/>
    <w:rsid w:val="000F22CC"/>
    <w:rsid w:val="000F52B8"/>
    <w:rsid w:val="000F6157"/>
    <w:rsid w:val="000F6523"/>
    <w:rsid w:val="000F6EF4"/>
    <w:rsid w:val="000F76D5"/>
    <w:rsid w:val="000F7B2C"/>
    <w:rsid w:val="00100130"/>
    <w:rsid w:val="001012CE"/>
    <w:rsid w:val="00101E3B"/>
    <w:rsid w:val="00103E3C"/>
    <w:rsid w:val="00106397"/>
    <w:rsid w:val="00106890"/>
    <w:rsid w:val="001072D8"/>
    <w:rsid w:val="001120A7"/>
    <w:rsid w:val="00112C28"/>
    <w:rsid w:val="00112EB9"/>
    <w:rsid w:val="0011309D"/>
    <w:rsid w:val="00114955"/>
    <w:rsid w:val="00115B03"/>
    <w:rsid w:val="00120720"/>
    <w:rsid w:val="001237DA"/>
    <w:rsid w:val="0012479B"/>
    <w:rsid w:val="00134152"/>
    <w:rsid w:val="001363AE"/>
    <w:rsid w:val="00140CC2"/>
    <w:rsid w:val="0014148D"/>
    <w:rsid w:val="001423E4"/>
    <w:rsid w:val="00142492"/>
    <w:rsid w:val="00142EFA"/>
    <w:rsid w:val="001446C8"/>
    <w:rsid w:val="00145298"/>
    <w:rsid w:val="00145EAB"/>
    <w:rsid w:val="00150250"/>
    <w:rsid w:val="001512B0"/>
    <w:rsid w:val="00151A8F"/>
    <w:rsid w:val="00154201"/>
    <w:rsid w:val="001610E1"/>
    <w:rsid w:val="00163867"/>
    <w:rsid w:val="00164E43"/>
    <w:rsid w:val="001655F8"/>
    <w:rsid w:val="00166794"/>
    <w:rsid w:val="0016745C"/>
    <w:rsid w:val="001677C3"/>
    <w:rsid w:val="00170A17"/>
    <w:rsid w:val="00176F1C"/>
    <w:rsid w:val="00177207"/>
    <w:rsid w:val="00177D4C"/>
    <w:rsid w:val="0018099C"/>
    <w:rsid w:val="00181AA3"/>
    <w:rsid w:val="0018468B"/>
    <w:rsid w:val="001871EC"/>
    <w:rsid w:val="00192965"/>
    <w:rsid w:val="001958BE"/>
    <w:rsid w:val="001A32A0"/>
    <w:rsid w:val="001B28D8"/>
    <w:rsid w:val="001B3849"/>
    <w:rsid w:val="001B45D2"/>
    <w:rsid w:val="001B7E7F"/>
    <w:rsid w:val="001B7EBB"/>
    <w:rsid w:val="001C1F79"/>
    <w:rsid w:val="001C2A8E"/>
    <w:rsid w:val="001C48A5"/>
    <w:rsid w:val="001C6D18"/>
    <w:rsid w:val="001D1A14"/>
    <w:rsid w:val="001D28B2"/>
    <w:rsid w:val="001D5F41"/>
    <w:rsid w:val="001E1FAD"/>
    <w:rsid w:val="001E4B45"/>
    <w:rsid w:val="001E541C"/>
    <w:rsid w:val="001F17C3"/>
    <w:rsid w:val="001F4682"/>
    <w:rsid w:val="001F53AB"/>
    <w:rsid w:val="001F5FDB"/>
    <w:rsid w:val="00200A59"/>
    <w:rsid w:val="00205846"/>
    <w:rsid w:val="002076E5"/>
    <w:rsid w:val="00207BAB"/>
    <w:rsid w:val="00210478"/>
    <w:rsid w:val="00211A89"/>
    <w:rsid w:val="00212467"/>
    <w:rsid w:val="00213793"/>
    <w:rsid w:val="00217AE0"/>
    <w:rsid w:val="00217B20"/>
    <w:rsid w:val="00217F28"/>
    <w:rsid w:val="002258E9"/>
    <w:rsid w:val="00232E31"/>
    <w:rsid w:val="002336C1"/>
    <w:rsid w:val="0023500E"/>
    <w:rsid w:val="00236787"/>
    <w:rsid w:val="00237E9D"/>
    <w:rsid w:val="00242FA7"/>
    <w:rsid w:val="0024621C"/>
    <w:rsid w:val="002472EC"/>
    <w:rsid w:val="00247828"/>
    <w:rsid w:val="00251178"/>
    <w:rsid w:val="00252AB3"/>
    <w:rsid w:val="00263A86"/>
    <w:rsid w:val="00266138"/>
    <w:rsid w:val="00267DDE"/>
    <w:rsid w:val="002712F2"/>
    <w:rsid w:val="00273AC2"/>
    <w:rsid w:val="00277569"/>
    <w:rsid w:val="002776B9"/>
    <w:rsid w:val="00281A02"/>
    <w:rsid w:val="00282844"/>
    <w:rsid w:val="00283501"/>
    <w:rsid w:val="002918AE"/>
    <w:rsid w:val="00292B27"/>
    <w:rsid w:val="00294AC8"/>
    <w:rsid w:val="002A0FA2"/>
    <w:rsid w:val="002A1910"/>
    <w:rsid w:val="002A6024"/>
    <w:rsid w:val="002A6517"/>
    <w:rsid w:val="002A6CF4"/>
    <w:rsid w:val="002A79EA"/>
    <w:rsid w:val="002B1005"/>
    <w:rsid w:val="002B14A2"/>
    <w:rsid w:val="002B239D"/>
    <w:rsid w:val="002B23CA"/>
    <w:rsid w:val="002B3AEC"/>
    <w:rsid w:val="002C10B6"/>
    <w:rsid w:val="002C59A0"/>
    <w:rsid w:val="002D14BD"/>
    <w:rsid w:val="002D2D7F"/>
    <w:rsid w:val="002D76F3"/>
    <w:rsid w:val="002E168C"/>
    <w:rsid w:val="002E18DF"/>
    <w:rsid w:val="002E4415"/>
    <w:rsid w:val="002E47E3"/>
    <w:rsid w:val="002E532F"/>
    <w:rsid w:val="002E58DF"/>
    <w:rsid w:val="002E5CAB"/>
    <w:rsid w:val="002F33A2"/>
    <w:rsid w:val="002F5E53"/>
    <w:rsid w:val="003028B4"/>
    <w:rsid w:val="003033AB"/>
    <w:rsid w:val="003051C9"/>
    <w:rsid w:val="00310051"/>
    <w:rsid w:val="00310E64"/>
    <w:rsid w:val="00311AC5"/>
    <w:rsid w:val="00311B51"/>
    <w:rsid w:val="00314271"/>
    <w:rsid w:val="00324CD1"/>
    <w:rsid w:val="0032527F"/>
    <w:rsid w:val="00326191"/>
    <w:rsid w:val="003270D5"/>
    <w:rsid w:val="0032745D"/>
    <w:rsid w:val="0032747D"/>
    <w:rsid w:val="003320E9"/>
    <w:rsid w:val="003354B8"/>
    <w:rsid w:val="0033702E"/>
    <w:rsid w:val="003401A6"/>
    <w:rsid w:val="00340D47"/>
    <w:rsid w:val="00342399"/>
    <w:rsid w:val="00343BC4"/>
    <w:rsid w:val="00344AF6"/>
    <w:rsid w:val="0034581F"/>
    <w:rsid w:val="00345FEA"/>
    <w:rsid w:val="00346A2B"/>
    <w:rsid w:val="00346AC3"/>
    <w:rsid w:val="003470A0"/>
    <w:rsid w:val="00347A19"/>
    <w:rsid w:val="003503F7"/>
    <w:rsid w:val="003506B8"/>
    <w:rsid w:val="003558A9"/>
    <w:rsid w:val="00360105"/>
    <w:rsid w:val="00364E32"/>
    <w:rsid w:val="00366884"/>
    <w:rsid w:val="0037200B"/>
    <w:rsid w:val="00376979"/>
    <w:rsid w:val="00377347"/>
    <w:rsid w:val="003773C1"/>
    <w:rsid w:val="00377F4E"/>
    <w:rsid w:val="003808F8"/>
    <w:rsid w:val="0038279B"/>
    <w:rsid w:val="003830FF"/>
    <w:rsid w:val="00383652"/>
    <w:rsid w:val="00392988"/>
    <w:rsid w:val="00392CBB"/>
    <w:rsid w:val="00396058"/>
    <w:rsid w:val="00396913"/>
    <w:rsid w:val="003A0E0E"/>
    <w:rsid w:val="003A2745"/>
    <w:rsid w:val="003A32CD"/>
    <w:rsid w:val="003A4315"/>
    <w:rsid w:val="003A46B8"/>
    <w:rsid w:val="003A4858"/>
    <w:rsid w:val="003A6E9B"/>
    <w:rsid w:val="003A7373"/>
    <w:rsid w:val="003B0AD2"/>
    <w:rsid w:val="003B0AF0"/>
    <w:rsid w:val="003B0D1E"/>
    <w:rsid w:val="003B1FC4"/>
    <w:rsid w:val="003B2156"/>
    <w:rsid w:val="003B3ADB"/>
    <w:rsid w:val="003B3E28"/>
    <w:rsid w:val="003B4C4D"/>
    <w:rsid w:val="003B5546"/>
    <w:rsid w:val="003B56D7"/>
    <w:rsid w:val="003B7718"/>
    <w:rsid w:val="003B7B5E"/>
    <w:rsid w:val="003C2285"/>
    <w:rsid w:val="003C3933"/>
    <w:rsid w:val="003C6F94"/>
    <w:rsid w:val="003C7986"/>
    <w:rsid w:val="003D0E57"/>
    <w:rsid w:val="003D1140"/>
    <w:rsid w:val="003D2C4E"/>
    <w:rsid w:val="003D423C"/>
    <w:rsid w:val="003D5116"/>
    <w:rsid w:val="003D5E5A"/>
    <w:rsid w:val="003D6730"/>
    <w:rsid w:val="003E2A02"/>
    <w:rsid w:val="003E3629"/>
    <w:rsid w:val="003E3B09"/>
    <w:rsid w:val="003E51A1"/>
    <w:rsid w:val="003E67E0"/>
    <w:rsid w:val="003F2EA2"/>
    <w:rsid w:val="003F5A1B"/>
    <w:rsid w:val="003F631A"/>
    <w:rsid w:val="003F77F7"/>
    <w:rsid w:val="003F7EC2"/>
    <w:rsid w:val="00402031"/>
    <w:rsid w:val="00402558"/>
    <w:rsid w:val="00403A69"/>
    <w:rsid w:val="00407C04"/>
    <w:rsid w:val="004103AD"/>
    <w:rsid w:val="00412672"/>
    <w:rsid w:val="00414D49"/>
    <w:rsid w:val="00415B4D"/>
    <w:rsid w:val="00425181"/>
    <w:rsid w:val="004252BE"/>
    <w:rsid w:val="0042795A"/>
    <w:rsid w:val="00431F98"/>
    <w:rsid w:val="00432C88"/>
    <w:rsid w:val="004345AF"/>
    <w:rsid w:val="00435DF8"/>
    <w:rsid w:val="00437326"/>
    <w:rsid w:val="00437D8F"/>
    <w:rsid w:val="00440302"/>
    <w:rsid w:val="00442959"/>
    <w:rsid w:val="004451D5"/>
    <w:rsid w:val="00446476"/>
    <w:rsid w:val="00446E53"/>
    <w:rsid w:val="00452A0D"/>
    <w:rsid w:val="004540AA"/>
    <w:rsid w:val="0045486D"/>
    <w:rsid w:val="00455DD7"/>
    <w:rsid w:val="0045698F"/>
    <w:rsid w:val="004571FC"/>
    <w:rsid w:val="0045732A"/>
    <w:rsid w:val="00457CCB"/>
    <w:rsid w:val="00461030"/>
    <w:rsid w:val="0046108A"/>
    <w:rsid w:val="004617CD"/>
    <w:rsid w:val="00463642"/>
    <w:rsid w:val="0046366C"/>
    <w:rsid w:val="004637C7"/>
    <w:rsid w:val="0046481D"/>
    <w:rsid w:val="00467D55"/>
    <w:rsid w:val="0047029B"/>
    <w:rsid w:val="004744B8"/>
    <w:rsid w:val="004773B5"/>
    <w:rsid w:val="00477B44"/>
    <w:rsid w:val="004812F8"/>
    <w:rsid w:val="00482412"/>
    <w:rsid w:val="0048296F"/>
    <w:rsid w:val="00482F19"/>
    <w:rsid w:val="0048418F"/>
    <w:rsid w:val="00484521"/>
    <w:rsid w:val="004848D3"/>
    <w:rsid w:val="0048551A"/>
    <w:rsid w:val="004858D4"/>
    <w:rsid w:val="0048786A"/>
    <w:rsid w:val="00492282"/>
    <w:rsid w:val="00494112"/>
    <w:rsid w:val="0049524B"/>
    <w:rsid w:val="004A0AF1"/>
    <w:rsid w:val="004A1799"/>
    <w:rsid w:val="004A2BB4"/>
    <w:rsid w:val="004A6A31"/>
    <w:rsid w:val="004B0F40"/>
    <w:rsid w:val="004B326D"/>
    <w:rsid w:val="004B4288"/>
    <w:rsid w:val="004B5FB4"/>
    <w:rsid w:val="004C1844"/>
    <w:rsid w:val="004C2D9E"/>
    <w:rsid w:val="004C4FA9"/>
    <w:rsid w:val="004C7CB7"/>
    <w:rsid w:val="004D067F"/>
    <w:rsid w:val="004D0708"/>
    <w:rsid w:val="004D21D2"/>
    <w:rsid w:val="004D2EF3"/>
    <w:rsid w:val="004D3DCE"/>
    <w:rsid w:val="004D56B0"/>
    <w:rsid w:val="004D5AEC"/>
    <w:rsid w:val="004D60CE"/>
    <w:rsid w:val="004E6B28"/>
    <w:rsid w:val="004E726C"/>
    <w:rsid w:val="004F08F6"/>
    <w:rsid w:val="004F37B5"/>
    <w:rsid w:val="004F3EDB"/>
    <w:rsid w:val="004F585F"/>
    <w:rsid w:val="004F5CC8"/>
    <w:rsid w:val="004F5E58"/>
    <w:rsid w:val="004F7FC3"/>
    <w:rsid w:val="00503A83"/>
    <w:rsid w:val="0051285D"/>
    <w:rsid w:val="005148CC"/>
    <w:rsid w:val="00517CC1"/>
    <w:rsid w:val="00520713"/>
    <w:rsid w:val="0052167A"/>
    <w:rsid w:val="00524356"/>
    <w:rsid w:val="00526584"/>
    <w:rsid w:val="0053123C"/>
    <w:rsid w:val="005358AA"/>
    <w:rsid w:val="00537DB4"/>
    <w:rsid w:val="00542592"/>
    <w:rsid w:val="005432D8"/>
    <w:rsid w:val="00543D4C"/>
    <w:rsid w:val="00545573"/>
    <w:rsid w:val="00551052"/>
    <w:rsid w:val="005523E5"/>
    <w:rsid w:val="00553594"/>
    <w:rsid w:val="005538AE"/>
    <w:rsid w:val="00553C3A"/>
    <w:rsid w:val="00554933"/>
    <w:rsid w:val="00554EDD"/>
    <w:rsid w:val="00555136"/>
    <w:rsid w:val="00556E0B"/>
    <w:rsid w:val="00560684"/>
    <w:rsid w:val="00560C24"/>
    <w:rsid w:val="00561918"/>
    <w:rsid w:val="00565091"/>
    <w:rsid w:val="00566BA3"/>
    <w:rsid w:val="00567B6E"/>
    <w:rsid w:val="005703E1"/>
    <w:rsid w:val="00571282"/>
    <w:rsid w:val="00571583"/>
    <w:rsid w:val="00572B05"/>
    <w:rsid w:val="00573B82"/>
    <w:rsid w:val="00575717"/>
    <w:rsid w:val="00575A2C"/>
    <w:rsid w:val="00576521"/>
    <w:rsid w:val="00576B4A"/>
    <w:rsid w:val="00577B17"/>
    <w:rsid w:val="00581D8E"/>
    <w:rsid w:val="005831B6"/>
    <w:rsid w:val="005851A6"/>
    <w:rsid w:val="00587658"/>
    <w:rsid w:val="00591930"/>
    <w:rsid w:val="00597D69"/>
    <w:rsid w:val="005A00BB"/>
    <w:rsid w:val="005A12CB"/>
    <w:rsid w:val="005A1342"/>
    <w:rsid w:val="005A3823"/>
    <w:rsid w:val="005A3965"/>
    <w:rsid w:val="005A4254"/>
    <w:rsid w:val="005A697C"/>
    <w:rsid w:val="005B1B6C"/>
    <w:rsid w:val="005B5F66"/>
    <w:rsid w:val="005C0A68"/>
    <w:rsid w:val="005C0D55"/>
    <w:rsid w:val="005C2135"/>
    <w:rsid w:val="005C35CE"/>
    <w:rsid w:val="005C429D"/>
    <w:rsid w:val="005D0D27"/>
    <w:rsid w:val="005D0FF9"/>
    <w:rsid w:val="005D1975"/>
    <w:rsid w:val="005D1E6B"/>
    <w:rsid w:val="005D235B"/>
    <w:rsid w:val="005D3E0C"/>
    <w:rsid w:val="005D7A41"/>
    <w:rsid w:val="005E05C7"/>
    <w:rsid w:val="005E1356"/>
    <w:rsid w:val="005E180C"/>
    <w:rsid w:val="005E4109"/>
    <w:rsid w:val="005E483B"/>
    <w:rsid w:val="005E58B4"/>
    <w:rsid w:val="005F290F"/>
    <w:rsid w:val="005F3F50"/>
    <w:rsid w:val="005F45D9"/>
    <w:rsid w:val="005F7A18"/>
    <w:rsid w:val="00601206"/>
    <w:rsid w:val="006012E5"/>
    <w:rsid w:val="00611FF9"/>
    <w:rsid w:val="00612EFB"/>
    <w:rsid w:val="00615709"/>
    <w:rsid w:val="0061658D"/>
    <w:rsid w:val="00617301"/>
    <w:rsid w:val="006206E9"/>
    <w:rsid w:val="0062135A"/>
    <w:rsid w:val="0062340D"/>
    <w:rsid w:val="00623716"/>
    <w:rsid w:val="00625510"/>
    <w:rsid w:val="00631E5A"/>
    <w:rsid w:val="00634175"/>
    <w:rsid w:val="006342DE"/>
    <w:rsid w:val="00636C24"/>
    <w:rsid w:val="00637393"/>
    <w:rsid w:val="006410D2"/>
    <w:rsid w:val="006420D0"/>
    <w:rsid w:val="00642DF6"/>
    <w:rsid w:val="00643637"/>
    <w:rsid w:val="00653090"/>
    <w:rsid w:val="00654302"/>
    <w:rsid w:val="006559C6"/>
    <w:rsid w:val="00655D9C"/>
    <w:rsid w:val="006609BD"/>
    <w:rsid w:val="00660F19"/>
    <w:rsid w:val="00661D4E"/>
    <w:rsid w:val="00664AAB"/>
    <w:rsid w:val="00667347"/>
    <w:rsid w:val="00672D7D"/>
    <w:rsid w:val="006744ED"/>
    <w:rsid w:val="006801EA"/>
    <w:rsid w:val="006807D7"/>
    <w:rsid w:val="00683520"/>
    <w:rsid w:val="00687B35"/>
    <w:rsid w:val="00691761"/>
    <w:rsid w:val="006977DA"/>
    <w:rsid w:val="0069792C"/>
    <w:rsid w:val="00697E62"/>
    <w:rsid w:val="006A05F2"/>
    <w:rsid w:val="006A109A"/>
    <w:rsid w:val="006A5366"/>
    <w:rsid w:val="006B5040"/>
    <w:rsid w:val="006C20E7"/>
    <w:rsid w:val="006C25D5"/>
    <w:rsid w:val="006C4CAC"/>
    <w:rsid w:val="006D28BB"/>
    <w:rsid w:val="006D4E46"/>
    <w:rsid w:val="006D5389"/>
    <w:rsid w:val="006D69BD"/>
    <w:rsid w:val="006D7053"/>
    <w:rsid w:val="006D780E"/>
    <w:rsid w:val="006E054F"/>
    <w:rsid w:val="006E3424"/>
    <w:rsid w:val="006F0A93"/>
    <w:rsid w:val="006F1EEC"/>
    <w:rsid w:val="006F2138"/>
    <w:rsid w:val="006F5175"/>
    <w:rsid w:val="006F6C63"/>
    <w:rsid w:val="006F6FA7"/>
    <w:rsid w:val="006F703F"/>
    <w:rsid w:val="007009EA"/>
    <w:rsid w:val="0070171F"/>
    <w:rsid w:val="00703CE7"/>
    <w:rsid w:val="00704C4C"/>
    <w:rsid w:val="00711DD4"/>
    <w:rsid w:val="0071248B"/>
    <w:rsid w:val="00712C4E"/>
    <w:rsid w:val="00713DAB"/>
    <w:rsid w:val="00714D72"/>
    <w:rsid w:val="00720829"/>
    <w:rsid w:val="00721662"/>
    <w:rsid w:val="00723C1E"/>
    <w:rsid w:val="00725986"/>
    <w:rsid w:val="00725FF1"/>
    <w:rsid w:val="00727EEE"/>
    <w:rsid w:val="00731221"/>
    <w:rsid w:val="007374E3"/>
    <w:rsid w:val="007413F2"/>
    <w:rsid w:val="0074240D"/>
    <w:rsid w:val="00743392"/>
    <w:rsid w:val="00745294"/>
    <w:rsid w:val="00747873"/>
    <w:rsid w:val="00754FE7"/>
    <w:rsid w:val="007554AE"/>
    <w:rsid w:val="00760AE4"/>
    <w:rsid w:val="00760AEF"/>
    <w:rsid w:val="00761CDB"/>
    <w:rsid w:val="00765732"/>
    <w:rsid w:val="00765B7C"/>
    <w:rsid w:val="00766BE3"/>
    <w:rsid w:val="0076748D"/>
    <w:rsid w:val="00767958"/>
    <w:rsid w:val="007703F9"/>
    <w:rsid w:val="00770A56"/>
    <w:rsid w:val="00771B59"/>
    <w:rsid w:val="00775079"/>
    <w:rsid w:val="0078089C"/>
    <w:rsid w:val="0078185E"/>
    <w:rsid w:val="0078343A"/>
    <w:rsid w:val="00784D0A"/>
    <w:rsid w:val="00784FC9"/>
    <w:rsid w:val="00786437"/>
    <w:rsid w:val="00786C38"/>
    <w:rsid w:val="00787702"/>
    <w:rsid w:val="00790C91"/>
    <w:rsid w:val="007919A6"/>
    <w:rsid w:val="00793223"/>
    <w:rsid w:val="007943C6"/>
    <w:rsid w:val="007946D5"/>
    <w:rsid w:val="00794B7F"/>
    <w:rsid w:val="00796A00"/>
    <w:rsid w:val="007A0E9C"/>
    <w:rsid w:val="007A1AD8"/>
    <w:rsid w:val="007A5C8A"/>
    <w:rsid w:val="007A5D93"/>
    <w:rsid w:val="007B1ADA"/>
    <w:rsid w:val="007B3B17"/>
    <w:rsid w:val="007B6CA5"/>
    <w:rsid w:val="007B79FD"/>
    <w:rsid w:val="007B7C38"/>
    <w:rsid w:val="007B7CFD"/>
    <w:rsid w:val="007C0726"/>
    <w:rsid w:val="007C149E"/>
    <w:rsid w:val="007C1BBA"/>
    <w:rsid w:val="007C4BC7"/>
    <w:rsid w:val="007C6A2A"/>
    <w:rsid w:val="007C6F5A"/>
    <w:rsid w:val="007D3E9D"/>
    <w:rsid w:val="007D4EEB"/>
    <w:rsid w:val="007E0965"/>
    <w:rsid w:val="007E377F"/>
    <w:rsid w:val="007E4CE3"/>
    <w:rsid w:val="007E51A3"/>
    <w:rsid w:val="007E5CF9"/>
    <w:rsid w:val="007F18C1"/>
    <w:rsid w:val="007F2E06"/>
    <w:rsid w:val="007F3A7E"/>
    <w:rsid w:val="007F3EF4"/>
    <w:rsid w:val="007F4C61"/>
    <w:rsid w:val="007F5877"/>
    <w:rsid w:val="007F679C"/>
    <w:rsid w:val="007F69A1"/>
    <w:rsid w:val="0080270C"/>
    <w:rsid w:val="00802F16"/>
    <w:rsid w:val="00805520"/>
    <w:rsid w:val="00805D24"/>
    <w:rsid w:val="0080744D"/>
    <w:rsid w:val="008103B4"/>
    <w:rsid w:val="0081284C"/>
    <w:rsid w:val="008177EC"/>
    <w:rsid w:val="008202AD"/>
    <w:rsid w:val="00822056"/>
    <w:rsid w:val="008235BA"/>
    <w:rsid w:val="00823D94"/>
    <w:rsid w:val="00824B00"/>
    <w:rsid w:val="008268BE"/>
    <w:rsid w:val="0082737A"/>
    <w:rsid w:val="00830175"/>
    <w:rsid w:val="00832196"/>
    <w:rsid w:val="00835441"/>
    <w:rsid w:val="00836C51"/>
    <w:rsid w:val="00836EDB"/>
    <w:rsid w:val="008372A1"/>
    <w:rsid w:val="0084086F"/>
    <w:rsid w:val="008458D6"/>
    <w:rsid w:val="008477EB"/>
    <w:rsid w:val="008514C2"/>
    <w:rsid w:val="00851E19"/>
    <w:rsid w:val="00854A93"/>
    <w:rsid w:val="0085520F"/>
    <w:rsid w:val="00857F05"/>
    <w:rsid w:val="00862CEC"/>
    <w:rsid w:val="00863B76"/>
    <w:rsid w:val="0086475D"/>
    <w:rsid w:val="0087218B"/>
    <w:rsid w:val="00873AE3"/>
    <w:rsid w:val="00873C20"/>
    <w:rsid w:val="008757FE"/>
    <w:rsid w:val="008760AA"/>
    <w:rsid w:val="0087620D"/>
    <w:rsid w:val="00877D1B"/>
    <w:rsid w:val="008819D9"/>
    <w:rsid w:val="008820A2"/>
    <w:rsid w:val="00884F16"/>
    <w:rsid w:val="00886647"/>
    <w:rsid w:val="00886DCB"/>
    <w:rsid w:val="00887DE5"/>
    <w:rsid w:val="00887E8B"/>
    <w:rsid w:val="00891DF3"/>
    <w:rsid w:val="008962AF"/>
    <w:rsid w:val="008A11D2"/>
    <w:rsid w:val="008A3808"/>
    <w:rsid w:val="008B16E5"/>
    <w:rsid w:val="008B1D04"/>
    <w:rsid w:val="008B2641"/>
    <w:rsid w:val="008B3F52"/>
    <w:rsid w:val="008B41A7"/>
    <w:rsid w:val="008B5269"/>
    <w:rsid w:val="008B6DBD"/>
    <w:rsid w:val="008C2AF7"/>
    <w:rsid w:val="008C472B"/>
    <w:rsid w:val="008C4D9A"/>
    <w:rsid w:val="008C560C"/>
    <w:rsid w:val="008C7312"/>
    <w:rsid w:val="008C7EA9"/>
    <w:rsid w:val="008D4661"/>
    <w:rsid w:val="008D4CB9"/>
    <w:rsid w:val="008D4E08"/>
    <w:rsid w:val="008D50D7"/>
    <w:rsid w:val="008D70FE"/>
    <w:rsid w:val="008D7F32"/>
    <w:rsid w:val="008E146E"/>
    <w:rsid w:val="008E289E"/>
    <w:rsid w:val="008E440F"/>
    <w:rsid w:val="008E5135"/>
    <w:rsid w:val="008F2F84"/>
    <w:rsid w:val="008F394F"/>
    <w:rsid w:val="008F494B"/>
    <w:rsid w:val="00901E98"/>
    <w:rsid w:val="009069A1"/>
    <w:rsid w:val="00910516"/>
    <w:rsid w:val="009136C9"/>
    <w:rsid w:val="00914B0E"/>
    <w:rsid w:val="00915D17"/>
    <w:rsid w:val="0091793C"/>
    <w:rsid w:val="00917FE0"/>
    <w:rsid w:val="009202A5"/>
    <w:rsid w:val="00923CF0"/>
    <w:rsid w:val="009258C7"/>
    <w:rsid w:val="009262CE"/>
    <w:rsid w:val="00933A54"/>
    <w:rsid w:val="0093563E"/>
    <w:rsid w:val="0094123D"/>
    <w:rsid w:val="00941AC3"/>
    <w:rsid w:val="00943567"/>
    <w:rsid w:val="00944E6A"/>
    <w:rsid w:val="00951754"/>
    <w:rsid w:val="00951B0B"/>
    <w:rsid w:val="00952B27"/>
    <w:rsid w:val="00953946"/>
    <w:rsid w:val="00953ACB"/>
    <w:rsid w:val="00955A03"/>
    <w:rsid w:val="00955CF5"/>
    <w:rsid w:val="0096204D"/>
    <w:rsid w:val="009642B7"/>
    <w:rsid w:val="0096440D"/>
    <w:rsid w:val="00964451"/>
    <w:rsid w:val="00966B5C"/>
    <w:rsid w:val="009676ED"/>
    <w:rsid w:val="00967793"/>
    <w:rsid w:val="00972115"/>
    <w:rsid w:val="00972709"/>
    <w:rsid w:val="009744A3"/>
    <w:rsid w:val="009770A5"/>
    <w:rsid w:val="00977B07"/>
    <w:rsid w:val="00985C5D"/>
    <w:rsid w:val="00987F70"/>
    <w:rsid w:val="0099136C"/>
    <w:rsid w:val="00991675"/>
    <w:rsid w:val="0099413D"/>
    <w:rsid w:val="00996717"/>
    <w:rsid w:val="009A110B"/>
    <w:rsid w:val="009A1591"/>
    <w:rsid w:val="009A1B96"/>
    <w:rsid w:val="009A3019"/>
    <w:rsid w:val="009A41E3"/>
    <w:rsid w:val="009A6B2C"/>
    <w:rsid w:val="009B09FA"/>
    <w:rsid w:val="009B0E6C"/>
    <w:rsid w:val="009B41C7"/>
    <w:rsid w:val="009B436D"/>
    <w:rsid w:val="009B7FCB"/>
    <w:rsid w:val="009C5A80"/>
    <w:rsid w:val="009C7541"/>
    <w:rsid w:val="009D2176"/>
    <w:rsid w:val="009D61DB"/>
    <w:rsid w:val="009D7BC7"/>
    <w:rsid w:val="009E0D4D"/>
    <w:rsid w:val="009E282D"/>
    <w:rsid w:val="009E3239"/>
    <w:rsid w:val="009E4385"/>
    <w:rsid w:val="009E5BC0"/>
    <w:rsid w:val="009F1A60"/>
    <w:rsid w:val="009F1C90"/>
    <w:rsid w:val="009F238B"/>
    <w:rsid w:val="009F437D"/>
    <w:rsid w:val="00A004B5"/>
    <w:rsid w:val="00A03B07"/>
    <w:rsid w:val="00A04241"/>
    <w:rsid w:val="00A04965"/>
    <w:rsid w:val="00A117FB"/>
    <w:rsid w:val="00A12442"/>
    <w:rsid w:val="00A1290A"/>
    <w:rsid w:val="00A1442F"/>
    <w:rsid w:val="00A15D0D"/>
    <w:rsid w:val="00A15DD5"/>
    <w:rsid w:val="00A177EA"/>
    <w:rsid w:val="00A21DF1"/>
    <w:rsid w:val="00A24CF4"/>
    <w:rsid w:val="00A24F9D"/>
    <w:rsid w:val="00A25DD5"/>
    <w:rsid w:val="00A2696D"/>
    <w:rsid w:val="00A276F8"/>
    <w:rsid w:val="00A27798"/>
    <w:rsid w:val="00A31223"/>
    <w:rsid w:val="00A35B6B"/>
    <w:rsid w:val="00A37CFC"/>
    <w:rsid w:val="00A4210E"/>
    <w:rsid w:val="00A43823"/>
    <w:rsid w:val="00A43EDF"/>
    <w:rsid w:val="00A44919"/>
    <w:rsid w:val="00A44A4A"/>
    <w:rsid w:val="00A472B9"/>
    <w:rsid w:val="00A4737F"/>
    <w:rsid w:val="00A51345"/>
    <w:rsid w:val="00A51E15"/>
    <w:rsid w:val="00A52D57"/>
    <w:rsid w:val="00A52FED"/>
    <w:rsid w:val="00A53022"/>
    <w:rsid w:val="00A56289"/>
    <w:rsid w:val="00A56821"/>
    <w:rsid w:val="00A60C84"/>
    <w:rsid w:val="00A61AEA"/>
    <w:rsid w:val="00A63F97"/>
    <w:rsid w:val="00A64922"/>
    <w:rsid w:val="00A65A90"/>
    <w:rsid w:val="00A67F18"/>
    <w:rsid w:val="00A70A3C"/>
    <w:rsid w:val="00A70B5E"/>
    <w:rsid w:val="00A73620"/>
    <w:rsid w:val="00A7398F"/>
    <w:rsid w:val="00A74C95"/>
    <w:rsid w:val="00A75AB4"/>
    <w:rsid w:val="00A7623A"/>
    <w:rsid w:val="00A81755"/>
    <w:rsid w:val="00A81DEF"/>
    <w:rsid w:val="00A83979"/>
    <w:rsid w:val="00A83E79"/>
    <w:rsid w:val="00A86B95"/>
    <w:rsid w:val="00A86CDE"/>
    <w:rsid w:val="00A86FFA"/>
    <w:rsid w:val="00A87409"/>
    <w:rsid w:val="00A9029E"/>
    <w:rsid w:val="00A9079B"/>
    <w:rsid w:val="00A973D5"/>
    <w:rsid w:val="00AA0750"/>
    <w:rsid w:val="00AA3375"/>
    <w:rsid w:val="00AA4734"/>
    <w:rsid w:val="00AA4FCC"/>
    <w:rsid w:val="00AB0544"/>
    <w:rsid w:val="00AB093E"/>
    <w:rsid w:val="00AB4D2E"/>
    <w:rsid w:val="00AB6124"/>
    <w:rsid w:val="00AB67C6"/>
    <w:rsid w:val="00AB6C94"/>
    <w:rsid w:val="00AB7302"/>
    <w:rsid w:val="00AC1D5A"/>
    <w:rsid w:val="00AC2DE1"/>
    <w:rsid w:val="00AC4846"/>
    <w:rsid w:val="00AC6922"/>
    <w:rsid w:val="00AC7373"/>
    <w:rsid w:val="00AD1527"/>
    <w:rsid w:val="00AD5ABE"/>
    <w:rsid w:val="00AE000C"/>
    <w:rsid w:val="00AE1FD3"/>
    <w:rsid w:val="00AE4AF7"/>
    <w:rsid w:val="00AF05E1"/>
    <w:rsid w:val="00AF2747"/>
    <w:rsid w:val="00AF29C5"/>
    <w:rsid w:val="00AF2E3B"/>
    <w:rsid w:val="00B00F55"/>
    <w:rsid w:val="00B01B61"/>
    <w:rsid w:val="00B02008"/>
    <w:rsid w:val="00B03BC1"/>
    <w:rsid w:val="00B03F04"/>
    <w:rsid w:val="00B04F6A"/>
    <w:rsid w:val="00B05483"/>
    <w:rsid w:val="00B11349"/>
    <w:rsid w:val="00B11465"/>
    <w:rsid w:val="00B11572"/>
    <w:rsid w:val="00B12987"/>
    <w:rsid w:val="00B158A7"/>
    <w:rsid w:val="00B20C75"/>
    <w:rsid w:val="00B214CB"/>
    <w:rsid w:val="00B2154C"/>
    <w:rsid w:val="00B23C8E"/>
    <w:rsid w:val="00B26C3E"/>
    <w:rsid w:val="00B277AF"/>
    <w:rsid w:val="00B27A57"/>
    <w:rsid w:val="00B33299"/>
    <w:rsid w:val="00B3340E"/>
    <w:rsid w:val="00B35846"/>
    <w:rsid w:val="00B36002"/>
    <w:rsid w:val="00B416B6"/>
    <w:rsid w:val="00B423E7"/>
    <w:rsid w:val="00B424F5"/>
    <w:rsid w:val="00B4258D"/>
    <w:rsid w:val="00B4466D"/>
    <w:rsid w:val="00B44F07"/>
    <w:rsid w:val="00B4583E"/>
    <w:rsid w:val="00B46B73"/>
    <w:rsid w:val="00B51609"/>
    <w:rsid w:val="00B51CDE"/>
    <w:rsid w:val="00B53A34"/>
    <w:rsid w:val="00B54C12"/>
    <w:rsid w:val="00B5540A"/>
    <w:rsid w:val="00B56444"/>
    <w:rsid w:val="00B57235"/>
    <w:rsid w:val="00B57F5F"/>
    <w:rsid w:val="00B62874"/>
    <w:rsid w:val="00B62CB1"/>
    <w:rsid w:val="00B63751"/>
    <w:rsid w:val="00B6529A"/>
    <w:rsid w:val="00B66E12"/>
    <w:rsid w:val="00B74BA3"/>
    <w:rsid w:val="00B74D58"/>
    <w:rsid w:val="00B828E4"/>
    <w:rsid w:val="00B82D65"/>
    <w:rsid w:val="00B83B91"/>
    <w:rsid w:val="00B855D1"/>
    <w:rsid w:val="00B8571E"/>
    <w:rsid w:val="00B92223"/>
    <w:rsid w:val="00B95587"/>
    <w:rsid w:val="00B97992"/>
    <w:rsid w:val="00B97D68"/>
    <w:rsid w:val="00BA1697"/>
    <w:rsid w:val="00BA34C2"/>
    <w:rsid w:val="00BA4828"/>
    <w:rsid w:val="00BA69DC"/>
    <w:rsid w:val="00BA777B"/>
    <w:rsid w:val="00BB0997"/>
    <w:rsid w:val="00BB2B52"/>
    <w:rsid w:val="00BB4EF6"/>
    <w:rsid w:val="00BB5FD1"/>
    <w:rsid w:val="00BB6C89"/>
    <w:rsid w:val="00BC04AF"/>
    <w:rsid w:val="00BC4DBB"/>
    <w:rsid w:val="00BC788B"/>
    <w:rsid w:val="00BC7C71"/>
    <w:rsid w:val="00BD0142"/>
    <w:rsid w:val="00BD0C1D"/>
    <w:rsid w:val="00BD280E"/>
    <w:rsid w:val="00BD4B2A"/>
    <w:rsid w:val="00BD581B"/>
    <w:rsid w:val="00BD6005"/>
    <w:rsid w:val="00BE0A0D"/>
    <w:rsid w:val="00BE1FF7"/>
    <w:rsid w:val="00BE2E1B"/>
    <w:rsid w:val="00BE55A9"/>
    <w:rsid w:val="00BE7467"/>
    <w:rsid w:val="00BF1D5D"/>
    <w:rsid w:val="00BF3BF4"/>
    <w:rsid w:val="00BF5D51"/>
    <w:rsid w:val="00BF6444"/>
    <w:rsid w:val="00C04760"/>
    <w:rsid w:val="00C1020B"/>
    <w:rsid w:val="00C105A3"/>
    <w:rsid w:val="00C10706"/>
    <w:rsid w:val="00C11DE0"/>
    <w:rsid w:val="00C137EF"/>
    <w:rsid w:val="00C13EAC"/>
    <w:rsid w:val="00C1626B"/>
    <w:rsid w:val="00C203CC"/>
    <w:rsid w:val="00C22605"/>
    <w:rsid w:val="00C24882"/>
    <w:rsid w:val="00C24F8B"/>
    <w:rsid w:val="00C269B6"/>
    <w:rsid w:val="00C26BB6"/>
    <w:rsid w:val="00C30EF4"/>
    <w:rsid w:val="00C325F5"/>
    <w:rsid w:val="00C37C2F"/>
    <w:rsid w:val="00C40934"/>
    <w:rsid w:val="00C41F4E"/>
    <w:rsid w:val="00C453D4"/>
    <w:rsid w:val="00C462D6"/>
    <w:rsid w:val="00C46F64"/>
    <w:rsid w:val="00C47A3F"/>
    <w:rsid w:val="00C5063B"/>
    <w:rsid w:val="00C5120E"/>
    <w:rsid w:val="00C5177D"/>
    <w:rsid w:val="00C54881"/>
    <w:rsid w:val="00C56367"/>
    <w:rsid w:val="00C565EA"/>
    <w:rsid w:val="00C57246"/>
    <w:rsid w:val="00C6145E"/>
    <w:rsid w:val="00C62794"/>
    <w:rsid w:val="00C62974"/>
    <w:rsid w:val="00C63B59"/>
    <w:rsid w:val="00C7085D"/>
    <w:rsid w:val="00C71A2D"/>
    <w:rsid w:val="00C75DE4"/>
    <w:rsid w:val="00C771D5"/>
    <w:rsid w:val="00C80120"/>
    <w:rsid w:val="00C81E09"/>
    <w:rsid w:val="00C835FF"/>
    <w:rsid w:val="00C8467F"/>
    <w:rsid w:val="00C8475D"/>
    <w:rsid w:val="00C84C1D"/>
    <w:rsid w:val="00C90743"/>
    <w:rsid w:val="00C96270"/>
    <w:rsid w:val="00C974D2"/>
    <w:rsid w:val="00CA1141"/>
    <w:rsid w:val="00CA1BF3"/>
    <w:rsid w:val="00CA2157"/>
    <w:rsid w:val="00CA276A"/>
    <w:rsid w:val="00CA2D79"/>
    <w:rsid w:val="00CA32BF"/>
    <w:rsid w:val="00CA33BD"/>
    <w:rsid w:val="00CA4E25"/>
    <w:rsid w:val="00CB00D4"/>
    <w:rsid w:val="00CB106C"/>
    <w:rsid w:val="00CB2863"/>
    <w:rsid w:val="00CB37E1"/>
    <w:rsid w:val="00CB4DB2"/>
    <w:rsid w:val="00CB7629"/>
    <w:rsid w:val="00CC0760"/>
    <w:rsid w:val="00CC1E8C"/>
    <w:rsid w:val="00CC3BC5"/>
    <w:rsid w:val="00CC3E0A"/>
    <w:rsid w:val="00CC4BAA"/>
    <w:rsid w:val="00CC7E63"/>
    <w:rsid w:val="00CD3D3C"/>
    <w:rsid w:val="00CD50A1"/>
    <w:rsid w:val="00CE06DD"/>
    <w:rsid w:val="00CE225D"/>
    <w:rsid w:val="00CE2F09"/>
    <w:rsid w:val="00CE4217"/>
    <w:rsid w:val="00CE4F50"/>
    <w:rsid w:val="00CE5C76"/>
    <w:rsid w:val="00CE5E98"/>
    <w:rsid w:val="00CE7D53"/>
    <w:rsid w:val="00CF2AA1"/>
    <w:rsid w:val="00CF483F"/>
    <w:rsid w:val="00CF52F7"/>
    <w:rsid w:val="00CF5BCE"/>
    <w:rsid w:val="00CF6BBE"/>
    <w:rsid w:val="00D0159D"/>
    <w:rsid w:val="00D042B1"/>
    <w:rsid w:val="00D04742"/>
    <w:rsid w:val="00D06912"/>
    <w:rsid w:val="00D07019"/>
    <w:rsid w:val="00D07FD2"/>
    <w:rsid w:val="00D10C07"/>
    <w:rsid w:val="00D10D5A"/>
    <w:rsid w:val="00D11A4F"/>
    <w:rsid w:val="00D140F7"/>
    <w:rsid w:val="00D14F8B"/>
    <w:rsid w:val="00D20EF4"/>
    <w:rsid w:val="00D23A3E"/>
    <w:rsid w:val="00D24E39"/>
    <w:rsid w:val="00D27F53"/>
    <w:rsid w:val="00D309FD"/>
    <w:rsid w:val="00D31453"/>
    <w:rsid w:val="00D315AB"/>
    <w:rsid w:val="00D321A7"/>
    <w:rsid w:val="00D3230C"/>
    <w:rsid w:val="00D348A6"/>
    <w:rsid w:val="00D35346"/>
    <w:rsid w:val="00D355F3"/>
    <w:rsid w:val="00D37AA2"/>
    <w:rsid w:val="00D4277A"/>
    <w:rsid w:val="00D43184"/>
    <w:rsid w:val="00D47AED"/>
    <w:rsid w:val="00D5028C"/>
    <w:rsid w:val="00D50692"/>
    <w:rsid w:val="00D51253"/>
    <w:rsid w:val="00D557C8"/>
    <w:rsid w:val="00D5704B"/>
    <w:rsid w:val="00D572F3"/>
    <w:rsid w:val="00D5794F"/>
    <w:rsid w:val="00D57F4E"/>
    <w:rsid w:val="00D61EEB"/>
    <w:rsid w:val="00D642D5"/>
    <w:rsid w:val="00D65F43"/>
    <w:rsid w:val="00D66DD6"/>
    <w:rsid w:val="00D71921"/>
    <w:rsid w:val="00D74E97"/>
    <w:rsid w:val="00D8249F"/>
    <w:rsid w:val="00D828FD"/>
    <w:rsid w:val="00D84878"/>
    <w:rsid w:val="00D86486"/>
    <w:rsid w:val="00D935BD"/>
    <w:rsid w:val="00D94CF5"/>
    <w:rsid w:val="00D94CF8"/>
    <w:rsid w:val="00D95617"/>
    <w:rsid w:val="00D967BB"/>
    <w:rsid w:val="00D96EB5"/>
    <w:rsid w:val="00DA2081"/>
    <w:rsid w:val="00DA5003"/>
    <w:rsid w:val="00DA67EF"/>
    <w:rsid w:val="00DA7500"/>
    <w:rsid w:val="00DB246E"/>
    <w:rsid w:val="00DB420A"/>
    <w:rsid w:val="00DC3B8B"/>
    <w:rsid w:val="00DC4F7D"/>
    <w:rsid w:val="00DC52DC"/>
    <w:rsid w:val="00DD1043"/>
    <w:rsid w:val="00DD28A5"/>
    <w:rsid w:val="00DD2A7D"/>
    <w:rsid w:val="00DD6132"/>
    <w:rsid w:val="00DD7392"/>
    <w:rsid w:val="00DE607A"/>
    <w:rsid w:val="00DE6B56"/>
    <w:rsid w:val="00DE7359"/>
    <w:rsid w:val="00DF0959"/>
    <w:rsid w:val="00DF161A"/>
    <w:rsid w:val="00DF54A2"/>
    <w:rsid w:val="00DF75FD"/>
    <w:rsid w:val="00DF7C78"/>
    <w:rsid w:val="00E0333A"/>
    <w:rsid w:val="00E03C08"/>
    <w:rsid w:val="00E05083"/>
    <w:rsid w:val="00E0682F"/>
    <w:rsid w:val="00E07BAF"/>
    <w:rsid w:val="00E07CAE"/>
    <w:rsid w:val="00E11259"/>
    <w:rsid w:val="00E11F62"/>
    <w:rsid w:val="00E12170"/>
    <w:rsid w:val="00E20A80"/>
    <w:rsid w:val="00E22AF6"/>
    <w:rsid w:val="00E22F89"/>
    <w:rsid w:val="00E24674"/>
    <w:rsid w:val="00E2500F"/>
    <w:rsid w:val="00E252EB"/>
    <w:rsid w:val="00E25ED1"/>
    <w:rsid w:val="00E27F8A"/>
    <w:rsid w:val="00E33EB3"/>
    <w:rsid w:val="00E34414"/>
    <w:rsid w:val="00E351EE"/>
    <w:rsid w:val="00E37B57"/>
    <w:rsid w:val="00E419CA"/>
    <w:rsid w:val="00E428BC"/>
    <w:rsid w:val="00E42911"/>
    <w:rsid w:val="00E43F70"/>
    <w:rsid w:val="00E45464"/>
    <w:rsid w:val="00E45DDD"/>
    <w:rsid w:val="00E470A4"/>
    <w:rsid w:val="00E475D8"/>
    <w:rsid w:val="00E4779A"/>
    <w:rsid w:val="00E533A9"/>
    <w:rsid w:val="00E56B83"/>
    <w:rsid w:val="00E60710"/>
    <w:rsid w:val="00E64C41"/>
    <w:rsid w:val="00E65F1F"/>
    <w:rsid w:val="00E66A67"/>
    <w:rsid w:val="00E67E06"/>
    <w:rsid w:val="00E7235F"/>
    <w:rsid w:val="00E72790"/>
    <w:rsid w:val="00E76AEB"/>
    <w:rsid w:val="00E8687F"/>
    <w:rsid w:val="00E91C65"/>
    <w:rsid w:val="00E9459B"/>
    <w:rsid w:val="00E95AA9"/>
    <w:rsid w:val="00E95EBB"/>
    <w:rsid w:val="00E961E9"/>
    <w:rsid w:val="00E96C22"/>
    <w:rsid w:val="00E977D0"/>
    <w:rsid w:val="00EA13E6"/>
    <w:rsid w:val="00EA1602"/>
    <w:rsid w:val="00EA327B"/>
    <w:rsid w:val="00EA40B2"/>
    <w:rsid w:val="00EA46D0"/>
    <w:rsid w:val="00EA559C"/>
    <w:rsid w:val="00EA5E90"/>
    <w:rsid w:val="00EA7B91"/>
    <w:rsid w:val="00EB4702"/>
    <w:rsid w:val="00EB4EAD"/>
    <w:rsid w:val="00EB6975"/>
    <w:rsid w:val="00EC169D"/>
    <w:rsid w:val="00EC1AAF"/>
    <w:rsid w:val="00EC3872"/>
    <w:rsid w:val="00EC47DB"/>
    <w:rsid w:val="00ED062A"/>
    <w:rsid w:val="00ED28AD"/>
    <w:rsid w:val="00ED3A09"/>
    <w:rsid w:val="00ED5A80"/>
    <w:rsid w:val="00ED72B5"/>
    <w:rsid w:val="00EE1AFB"/>
    <w:rsid w:val="00EE23A0"/>
    <w:rsid w:val="00EE3453"/>
    <w:rsid w:val="00EE49FB"/>
    <w:rsid w:val="00EE6349"/>
    <w:rsid w:val="00EE6622"/>
    <w:rsid w:val="00EE6F20"/>
    <w:rsid w:val="00EF0774"/>
    <w:rsid w:val="00EF1122"/>
    <w:rsid w:val="00EF1769"/>
    <w:rsid w:val="00EF212A"/>
    <w:rsid w:val="00EF2EF8"/>
    <w:rsid w:val="00EF3943"/>
    <w:rsid w:val="00EF4036"/>
    <w:rsid w:val="00EF41F2"/>
    <w:rsid w:val="00EF4FB7"/>
    <w:rsid w:val="00EF5F46"/>
    <w:rsid w:val="00EF71F6"/>
    <w:rsid w:val="00F01058"/>
    <w:rsid w:val="00F01164"/>
    <w:rsid w:val="00F04228"/>
    <w:rsid w:val="00F064F1"/>
    <w:rsid w:val="00F0672A"/>
    <w:rsid w:val="00F067E7"/>
    <w:rsid w:val="00F07BEE"/>
    <w:rsid w:val="00F13713"/>
    <w:rsid w:val="00F13E4F"/>
    <w:rsid w:val="00F14E1E"/>
    <w:rsid w:val="00F17A01"/>
    <w:rsid w:val="00F17D88"/>
    <w:rsid w:val="00F200A0"/>
    <w:rsid w:val="00F2069C"/>
    <w:rsid w:val="00F21534"/>
    <w:rsid w:val="00F217BB"/>
    <w:rsid w:val="00F228CC"/>
    <w:rsid w:val="00F2495C"/>
    <w:rsid w:val="00F24A98"/>
    <w:rsid w:val="00F24F29"/>
    <w:rsid w:val="00F31D95"/>
    <w:rsid w:val="00F347E6"/>
    <w:rsid w:val="00F34FA4"/>
    <w:rsid w:val="00F3534A"/>
    <w:rsid w:val="00F37DAD"/>
    <w:rsid w:val="00F404DF"/>
    <w:rsid w:val="00F40F13"/>
    <w:rsid w:val="00F41344"/>
    <w:rsid w:val="00F4668E"/>
    <w:rsid w:val="00F51433"/>
    <w:rsid w:val="00F51700"/>
    <w:rsid w:val="00F5264A"/>
    <w:rsid w:val="00F540A2"/>
    <w:rsid w:val="00F576BB"/>
    <w:rsid w:val="00F60413"/>
    <w:rsid w:val="00F61DF2"/>
    <w:rsid w:val="00F63B3B"/>
    <w:rsid w:val="00F673C3"/>
    <w:rsid w:val="00F7347C"/>
    <w:rsid w:val="00F74C2F"/>
    <w:rsid w:val="00F750E3"/>
    <w:rsid w:val="00F7559F"/>
    <w:rsid w:val="00F7630A"/>
    <w:rsid w:val="00F764E8"/>
    <w:rsid w:val="00F76A60"/>
    <w:rsid w:val="00F76DBD"/>
    <w:rsid w:val="00F77AF9"/>
    <w:rsid w:val="00F80E29"/>
    <w:rsid w:val="00F83532"/>
    <w:rsid w:val="00F87182"/>
    <w:rsid w:val="00F87F90"/>
    <w:rsid w:val="00F920D8"/>
    <w:rsid w:val="00F954DD"/>
    <w:rsid w:val="00F97179"/>
    <w:rsid w:val="00FA1424"/>
    <w:rsid w:val="00FA19B2"/>
    <w:rsid w:val="00FA24D0"/>
    <w:rsid w:val="00FA39AB"/>
    <w:rsid w:val="00FA5BC2"/>
    <w:rsid w:val="00FA642C"/>
    <w:rsid w:val="00FB0F94"/>
    <w:rsid w:val="00FB3D51"/>
    <w:rsid w:val="00FB49B3"/>
    <w:rsid w:val="00FC2213"/>
    <w:rsid w:val="00FC6F21"/>
    <w:rsid w:val="00FD098C"/>
    <w:rsid w:val="00FD22CD"/>
    <w:rsid w:val="00FD4A57"/>
    <w:rsid w:val="00FD59FE"/>
    <w:rsid w:val="00FE07E3"/>
    <w:rsid w:val="00FE0CA8"/>
    <w:rsid w:val="00FE16FE"/>
    <w:rsid w:val="00FE2DC5"/>
    <w:rsid w:val="00FE2DDD"/>
    <w:rsid w:val="00FE3973"/>
    <w:rsid w:val="00FE41A5"/>
    <w:rsid w:val="00FE41AD"/>
    <w:rsid w:val="00FE4B63"/>
    <w:rsid w:val="00FE4E97"/>
    <w:rsid w:val="00FE7E28"/>
    <w:rsid w:val="00FF0224"/>
    <w:rsid w:val="00FF159C"/>
    <w:rsid w:val="00FF3446"/>
    <w:rsid w:val="00FF3FFD"/>
    <w:rsid w:val="00FF44D0"/>
    <w:rsid w:val="00FF4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12"/>
  </w:style>
  <w:style w:type="paragraph" w:styleId="Heading2">
    <w:name w:val="heading 2"/>
    <w:basedOn w:val="Normal"/>
    <w:link w:val="Heading2Char"/>
    <w:uiPriority w:val="9"/>
    <w:qFormat/>
    <w:rsid w:val="00F07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181"/>
    <w:rPr>
      <w:strike w:val="0"/>
      <w:dstrike w:val="0"/>
      <w:color w:val="0072C6"/>
      <w:u w:val="none"/>
      <w:effect w:val="none"/>
    </w:rPr>
  </w:style>
  <w:style w:type="character" w:styleId="Strong">
    <w:name w:val="Strong"/>
    <w:basedOn w:val="DefaultParagraphFont"/>
    <w:uiPriority w:val="22"/>
    <w:qFormat/>
    <w:rsid w:val="00425181"/>
    <w:rPr>
      <w:b/>
      <w:bCs/>
    </w:rPr>
  </w:style>
  <w:style w:type="paragraph" w:styleId="NormalWeb">
    <w:name w:val="Normal (Web)"/>
    <w:basedOn w:val="Normal"/>
    <w:uiPriority w:val="99"/>
    <w:semiHidden/>
    <w:unhideWhenUsed/>
    <w:rsid w:val="00425181"/>
    <w:pPr>
      <w:spacing w:after="324" w:line="240" w:lineRule="auto"/>
    </w:pPr>
    <w:rPr>
      <w:rFonts w:ascii="Times New Roman" w:eastAsia="Times New Roman" w:hAnsi="Times New Roman" w:cs="Times New Roman"/>
      <w:sz w:val="24"/>
      <w:szCs w:val="24"/>
    </w:rPr>
  </w:style>
  <w:style w:type="paragraph" w:customStyle="1" w:styleId="Default">
    <w:name w:val="Default"/>
    <w:rsid w:val="00B9222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07BE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25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F1"/>
    <w:rPr>
      <w:rFonts w:ascii="Tahoma" w:hAnsi="Tahoma" w:cs="Tahoma"/>
      <w:sz w:val="16"/>
      <w:szCs w:val="16"/>
    </w:rPr>
  </w:style>
  <w:style w:type="paragraph" w:styleId="ListParagraph">
    <w:name w:val="List Paragraph"/>
    <w:basedOn w:val="Normal"/>
    <w:uiPriority w:val="34"/>
    <w:qFormat/>
    <w:rsid w:val="00CC7E63"/>
    <w:pPr>
      <w:ind w:left="720"/>
      <w:contextualSpacing/>
    </w:pPr>
  </w:style>
</w:styles>
</file>

<file path=word/webSettings.xml><?xml version="1.0" encoding="utf-8"?>
<w:webSettings xmlns:r="http://schemas.openxmlformats.org/officeDocument/2006/relationships" xmlns:w="http://schemas.openxmlformats.org/wordprocessingml/2006/main">
  <w:divs>
    <w:div w:id="617881333">
      <w:bodyDiv w:val="1"/>
      <w:marLeft w:val="0"/>
      <w:marRight w:val="0"/>
      <w:marTop w:val="0"/>
      <w:marBottom w:val="0"/>
      <w:divBdr>
        <w:top w:val="none" w:sz="0" w:space="0" w:color="auto"/>
        <w:left w:val="none" w:sz="0" w:space="0" w:color="auto"/>
        <w:bottom w:val="none" w:sz="0" w:space="0" w:color="auto"/>
        <w:right w:val="none" w:sz="0" w:space="0" w:color="auto"/>
      </w:divBdr>
      <w:divsChild>
        <w:div w:id="543181143">
          <w:marLeft w:val="0"/>
          <w:marRight w:val="0"/>
          <w:marTop w:val="0"/>
          <w:marBottom w:val="0"/>
          <w:divBdr>
            <w:top w:val="single" w:sz="2" w:space="0" w:color="333333"/>
            <w:left w:val="none" w:sz="0" w:space="0" w:color="auto"/>
            <w:bottom w:val="none" w:sz="0" w:space="0" w:color="auto"/>
            <w:right w:val="none" w:sz="0" w:space="0" w:color="auto"/>
          </w:divBdr>
          <w:divsChild>
            <w:div w:id="1709913823">
              <w:marLeft w:val="0"/>
              <w:marRight w:val="0"/>
              <w:marTop w:val="0"/>
              <w:marBottom w:val="0"/>
              <w:divBdr>
                <w:top w:val="none" w:sz="0" w:space="0" w:color="auto"/>
                <w:left w:val="none" w:sz="0" w:space="0" w:color="auto"/>
                <w:bottom w:val="single" w:sz="2" w:space="0" w:color="333333"/>
                <w:right w:val="none" w:sz="0" w:space="0" w:color="auto"/>
              </w:divBdr>
              <w:divsChild>
                <w:div w:id="460850402">
                  <w:marLeft w:val="0"/>
                  <w:marRight w:val="0"/>
                  <w:marTop w:val="0"/>
                  <w:marBottom w:val="0"/>
                  <w:divBdr>
                    <w:top w:val="none" w:sz="0" w:space="0" w:color="auto"/>
                    <w:left w:val="none" w:sz="0" w:space="0" w:color="auto"/>
                    <w:bottom w:val="none" w:sz="0" w:space="0" w:color="auto"/>
                    <w:right w:val="none" w:sz="0" w:space="0" w:color="auto"/>
                  </w:divBdr>
                  <w:divsChild>
                    <w:div w:id="367143639">
                      <w:marLeft w:val="0"/>
                      <w:marRight w:val="0"/>
                      <w:marTop w:val="0"/>
                      <w:marBottom w:val="0"/>
                      <w:divBdr>
                        <w:top w:val="none" w:sz="0" w:space="0" w:color="auto"/>
                        <w:left w:val="none" w:sz="0" w:space="0" w:color="auto"/>
                        <w:bottom w:val="none" w:sz="0" w:space="0" w:color="auto"/>
                        <w:right w:val="none" w:sz="0" w:space="0" w:color="auto"/>
                      </w:divBdr>
                      <w:divsChild>
                        <w:div w:id="287248689">
                          <w:marLeft w:val="0"/>
                          <w:marRight w:val="0"/>
                          <w:marTop w:val="0"/>
                          <w:marBottom w:val="0"/>
                          <w:divBdr>
                            <w:top w:val="none" w:sz="0" w:space="0" w:color="auto"/>
                            <w:left w:val="none" w:sz="0" w:space="0" w:color="auto"/>
                            <w:bottom w:val="none" w:sz="0" w:space="0" w:color="auto"/>
                            <w:right w:val="none" w:sz="0" w:space="0" w:color="auto"/>
                          </w:divBdr>
                          <w:divsChild>
                            <w:div w:id="3231016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88086">
      <w:bodyDiv w:val="1"/>
      <w:marLeft w:val="0"/>
      <w:marRight w:val="0"/>
      <w:marTop w:val="0"/>
      <w:marBottom w:val="0"/>
      <w:divBdr>
        <w:top w:val="none" w:sz="0" w:space="0" w:color="auto"/>
        <w:left w:val="none" w:sz="0" w:space="0" w:color="auto"/>
        <w:bottom w:val="none" w:sz="0" w:space="0" w:color="auto"/>
        <w:right w:val="none" w:sz="0" w:space="0" w:color="auto"/>
      </w:divBdr>
      <w:divsChild>
        <w:div w:id="1374160434">
          <w:marLeft w:val="0"/>
          <w:marRight w:val="0"/>
          <w:marTop w:val="0"/>
          <w:marBottom w:val="0"/>
          <w:divBdr>
            <w:top w:val="single" w:sz="2" w:space="0" w:color="333333"/>
            <w:left w:val="none" w:sz="0" w:space="0" w:color="auto"/>
            <w:bottom w:val="none" w:sz="0" w:space="0" w:color="auto"/>
            <w:right w:val="none" w:sz="0" w:space="0" w:color="auto"/>
          </w:divBdr>
          <w:divsChild>
            <w:div w:id="985474206">
              <w:marLeft w:val="0"/>
              <w:marRight w:val="0"/>
              <w:marTop w:val="0"/>
              <w:marBottom w:val="0"/>
              <w:divBdr>
                <w:top w:val="none" w:sz="0" w:space="0" w:color="auto"/>
                <w:left w:val="none" w:sz="0" w:space="0" w:color="auto"/>
                <w:bottom w:val="single" w:sz="2" w:space="0" w:color="333333"/>
                <w:right w:val="none" w:sz="0" w:space="0" w:color="auto"/>
              </w:divBdr>
              <w:divsChild>
                <w:div w:id="28187861">
                  <w:marLeft w:val="0"/>
                  <w:marRight w:val="0"/>
                  <w:marTop w:val="0"/>
                  <w:marBottom w:val="0"/>
                  <w:divBdr>
                    <w:top w:val="none" w:sz="0" w:space="0" w:color="auto"/>
                    <w:left w:val="none" w:sz="0" w:space="0" w:color="auto"/>
                    <w:bottom w:val="none" w:sz="0" w:space="0" w:color="auto"/>
                    <w:right w:val="none" w:sz="0" w:space="0" w:color="auto"/>
                  </w:divBdr>
                  <w:divsChild>
                    <w:div w:id="1381435566">
                      <w:marLeft w:val="0"/>
                      <w:marRight w:val="0"/>
                      <w:marTop w:val="0"/>
                      <w:marBottom w:val="0"/>
                      <w:divBdr>
                        <w:top w:val="none" w:sz="0" w:space="0" w:color="auto"/>
                        <w:left w:val="none" w:sz="0" w:space="0" w:color="auto"/>
                        <w:bottom w:val="none" w:sz="0" w:space="0" w:color="auto"/>
                        <w:right w:val="none" w:sz="0" w:space="0" w:color="auto"/>
                      </w:divBdr>
                      <w:divsChild>
                        <w:div w:id="181211136">
                          <w:marLeft w:val="0"/>
                          <w:marRight w:val="0"/>
                          <w:marTop w:val="0"/>
                          <w:marBottom w:val="0"/>
                          <w:divBdr>
                            <w:top w:val="none" w:sz="0" w:space="0" w:color="auto"/>
                            <w:left w:val="none" w:sz="0" w:space="0" w:color="auto"/>
                            <w:bottom w:val="none" w:sz="0" w:space="0" w:color="auto"/>
                            <w:right w:val="none" w:sz="0" w:space="0" w:color="auto"/>
                          </w:divBdr>
                          <w:divsChild>
                            <w:div w:id="22899910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06614">
      <w:bodyDiv w:val="1"/>
      <w:marLeft w:val="0"/>
      <w:marRight w:val="0"/>
      <w:marTop w:val="0"/>
      <w:marBottom w:val="0"/>
      <w:divBdr>
        <w:top w:val="none" w:sz="0" w:space="0" w:color="auto"/>
        <w:left w:val="none" w:sz="0" w:space="0" w:color="auto"/>
        <w:bottom w:val="none" w:sz="0" w:space="0" w:color="auto"/>
        <w:right w:val="none" w:sz="0" w:space="0" w:color="auto"/>
      </w:divBdr>
      <w:divsChild>
        <w:div w:id="21635326">
          <w:marLeft w:val="0"/>
          <w:marRight w:val="0"/>
          <w:marTop w:val="0"/>
          <w:marBottom w:val="0"/>
          <w:divBdr>
            <w:top w:val="single" w:sz="2" w:space="0" w:color="333333"/>
            <w:left w:val="none" w:sz="0" w:space="0" w:color="auto"/>
            <w:bottom w:val="none" w:sz="0" w:space="0" w:color="auto"/>
            <w:right w:val="none" w:sz="0" w:space="0" w:color="auto"/>
          </w:divBdr>
          <w:divsChild>
            <w:div w:id="2066486186">
              <w:marLeft w:val="0"/>
              <w:marRight w:val="0"/>
              <w:marTop w:val="0"/>
              <w:marBottom w:val="0"/>
              <w:divBdr>
                <w:top w:val="none" w:sz="0" w:space="0" w:color="auto"/>
                <w:left w:val="none" w:sz="0" w:space="0" w:color="auto"/>
                <w:bottom w:val="single" w:sz="2" w:space="0" w:color="333333"/>
                <w:right w:val="none" w:sz="0" w:space="0" w:color="auto"/>
              </w:divBdr>
              <w:divsChild>
                <w:div w:id="1395547282">
                  <w:marLeft w:val="0"/>
                  <w:marRight w:val="0"/>
                  <w:marTop w:val="0"/>
                  <w:marBottom w:val="0"/>
                  <w:divBdr>
                    <w:top w:val="none" w:sz="0" w:space="0" w:color="auto"/>
                    <w:left w:val="none" w:sz="0" w:space="0" w:color="auto"/>
                    <w:bottom w:val="none" w:sz="0" w:space="0" w:color="auto"/>
                    <w:right w:val="none" w:sz="0" w:space="0" w:color="auto"/>
                  </w:divBdr>
                  <w:divsChild>
                    <w:div w:id="1877808655">
                      <w:marLeft w:val="0"/>
                      <w:marRight w:val="0"/>
                      <w:marTop w:val="0"/>
                      <w:marBottom w:val="0"/>
                      <w:divBdr>
                        <w:top w:val="none" w:sz="0" w:space="0" w:color="auto"/>
                        <w:left w:val="none" w:sz="0" w:space="0" w:color="auto"/>
                        <w:bottom w:val="none" w:sz="0" w:space="0" w:color="auto"/>
                        <w:right w:val="none" w:sz="0" w:space="0" w:color="auto"/>
                      </w:divBdr>
                      <w:divsChild>
                        <w:div w:id="731149742">
                          <w:marLeft w:val="0"/>
                          <w:marRight w:val="0"/>
                          <w:marTop w:val="0"/>
                          <w:marBottom w:val="0"/>
                          <w:divBdr>
                            <w:top w:val="none" w:sz="0" w:space="0" w:color="auto"/>
                            <w:left w:val="none" w:sz="0" w:space="0" w:color="auto"/>
                            <w:bottom w:val="none" w:sz="0" w:space="0" w:color="auto"/>
                            <w:right w:val="none" w:sz="0" w:space="0" w:color="auto"/>
                          </w:divBdr>
                          <w:divsChild>
                            <w:div w:id="634724025">
                              <w:marLeft w:val="525"/>
                              <w:marRight w:val="0"/>
                              <w:marTop w:val="0"/>
                              <w:marBottom w:val="0"/>
                              <w:divBdr>
                                <w:top w:val="none" w:sz="0" w:space="0" w:color="auto"/>
                                <w:left w:val="none" w:sz="0" w:space="0" w:color="auto"/>
                                <w:bottom w:val="none" w:sz="0" w:space="0" w:color="auto"/>
                                <w:right w:val="none" w:sz="0" w:space="0" w:color="auto"/>
                              </w:divBdr>
                            </w:div>
                          </w:divsChild>
                        </w:div>
                        <w:div w:id="1725565665">
                          <w:marLeft w:val="0"/>
                          <w:marRight w:val="0"/>
                          <w:marTop w:val="0"/>
                          <w:marBottom w:val="0"/>
                          <w:divBdr>
                            <w:top w:val="none" w:sz="0" w:space="0" w:color="auto"/>
                            <w:left w:val="none" w:sz="0" w:space="0" w:color="auto"/>
                            <w:bottom w:val="none" w:sz="0" w:space="0" w:color="auto"/>
                            <w:right w:val="none" w:sz="0" w:space="0" w:color="auto"/>
                          </w:divBdr>
                          <w:divsChild>
                            <w:div w:id="467745185">
                              <w:marLeft w:val="0"/>
                              <w:marRight w:val="0"/>
                              <w:marTop w:val="0"/>
                              <w:marBottom w:val="0"/>
                              <w:divBdr>
                                <w:top w:val="none" w:sz="0" w:space="0" w:color="auto"/>
                                <w:left w:val="none" w:sz="0" w:space="0" w:color="auto"/>
                                <w:bottom w:val="none" w:sz="0" w:space="0" w:color="auto"/>
                                <w:right w:val="none" w:sz="0" w:space="0" w:color="auto"/>
                              </w:divBdr>
                              <w:divsChild>
                                <w:div w:id="972757810">
                                  <w:marLeft w:val="338"/>
                                  <w:marRight w:val="0"/>
                                  <w:marTop w:val="0"/>
                                  <w:marBottom w:val="0"/>
                                  <w:divBdr>
                                    <w:top w:val="none" w:sz="0" w:space="0" w:color="auto"/>
                                    <w:left w:val="none" w:sz="0" w:space="0" w:color="auto"/>
                                    <w:bottom w:val="none" w:sz="0" w:space="0" w:color="auto"/>
                                    <w:right w:val="none" w:sz="0" w:space="0" w:color="auto"/>
                                  </w:divBdr>
                                </w:div>
                                <w:div w:id="1854031497">
                                  <w:marLeft w:val="3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81893">
      <w:bodyDiv w:val="1"/>
      <w:marLeft w:val="0"/>
      <w:marRight w:val="0"/>
      <w:marTop w:val="0"/>
      <w:marBottom w:val="0"/>
      <w:divBdr>
        <w:top w:val="none" w:sz="0" w:space="0" w:color="auto"/>
        <w:left w:val="none" w:sz="0" w:space="0" w:color="auto"/>
        <w:bottom w:val="none" w:sz="0" w:space="0" w:color="auto"/>
        <w:right w:val="none" w:sz="0" w:space="0" w:color="auto"/>
      </w:divBdr>
      <w:divsChild>
        <w:div w:id="2031298048">
          <w:marLeft w:val="0"/>
          <w:marRight w:val="0"/>
          <w:marTop w:val="0"/>
          <w:marBottom w:val="0"/>
          <w:divBdr>
            <w:top w:val="single" w:sz="2" w:space="0" w:color="333333"/>
            <w:left w:val="none" w:sz="0" w:space="0" w:color="auto"/>
            <w:bottom w:val="none" w:sz="0" w:space="0" w:color="auto"/>
            <w:right w:val="none" w:sz="0" w:space="0" w:color="auto"/>
          </w:divBdr>
          <w:divsChild>
            <w:div w:id="492376058">
              <w:marLeft w:val="0"/>
              <w:marRight w:val="0"/>
              <w:marTop w:val="0"/>
              <w:marBottom w:val="0"/>
              <w:divBdr>
                <w:top w:val="none" w:sz="0" w:space="0" w:color="auto"/>
                <w:left w:val="none" w:sz="0" w:space="0" w:color="auto"/>
                <w:bottom w:val="single" w:sz="2" w:space="0" w:color="333333"/>
                <w:right w:val="none" w:sz="0" w:space="0" w:color="auto"/>
              </w:divBdr>
              <w:divsChild>
                <w:div w:id="184052964">
                  <w:marLeft w:val="0"/>
                  <w:marRight w:val="0"/>
                  <w:marTop w:val="0"/>
                  <w:marBottom w:val="0"/>
                  <w:divBdr>
                    <w:top w:val="none" w:sz="0" w:space="0" w:color="auto"/>
                    <w:left w:val="none" w:sz="0" w:space="0" w:color="auto"/>
                    <w:bottom w:val="none" w:sz="0" w:space="0" w:color="auto"/>
                    <w:right w:val="none" w:sz="0" w:space="0" w:color="auto"/>
                  </w:divBdr>
                  <w:divsChild>
                    <w:div w:id="1103692847">
                      <w:marLeft w:val="0"/>
                      <w:marRight w:val="0"/>
                      <w:marTop w:val="0"/>
                      <w:marBottom w:val="0"/>
                      <w:divBdr>
                        <w:top w:val="none" w:sz="0" w:space="0" w:color="auto"/>
                        <w:left w:val="none" w:sz="0" w:space="0" w:color="auto"/>
                        <w:bottom w:val="none" w:sz="0" w:space="0" w:color="auto"/>
                        <w:right w:val="none" w:sz="0" w:space="0" w:color="auto"/>
                      </w:divBdr>
                      <w:divsChild>
                        <w:div w:id="66609811">
                          <w:marLeft w:val="0"/>
                          <w:marRight w:val="0"/>
                          <w:marTop w:val="0"/>
                          <w:marBottom w:val="0"/>
                          <w:divBdr>
                            <w:top w:val="none" w:sz="0" w:space="0" w:color="auto"/>
                            <w:left w:val="none" w:sz="0" w:space="0" w:color="auto"/>
                            <w:bottom w:val="none" w:sz="0" w:space="0" w:color="auto"/>
                            <w:right w:val="none" w:sz="0" w:space="0" w:color="auto"/>
                          </w:divBdr>
                        </w:div>
                        <w:div w:id="2141217047">
                          <w:marLeft w:val="0"/>
                          <w:marRight w:val="0"/>
                          <w:marTop w:val="0"/>
                          <w:marBottom w:val="0"/>
                          <w:divBdr>
                            <w:top w:val="none" w:sz="0" w:space="0" w:color="auto"/>
                            <w:left w:val="none" w:sz="0" w:space="0" w:color="auto"/>
                            <w:bottom w:val="none" w:sz="0" w:space="0" w:color="auto"/>
                            <w:right w:val="none" w:sz="0" w:space="0" w:color="auto"/>
                          </w:divBdr>
                          <w:divsChild>
                            <w:div w:id="230576497">
                              <w:marLeft w:val="0"/>
                              <w:marRight w:val="0"/>
                              <w:marTop w:val="0"/>
                              <w:marBottom w:val="0"/>
                              <w:divBdr>
                                <w:top w:val="none" w:sz="0" w:space="0" w:color="auto"/>
                                <w:left w:val="none" w:sz="0" w:space="0" w:color="auto"/>
                                <w:bottom w:val="none" w:sz="0" w:space="0" w:color="auto"/>
                                <w:right w:val="none" w:sz="0" w:space="0" w:color="auto"/>
                              </w:divBdr>
                              <w:divsChild>
                                <w:div w:id="1438519638">
                                  <w:marLeft w:val="338"/>
                                  <w:marRight w:val="0"/>
                                  <w:marTop w:val="0"/>
                                  <w:marBottom w:val="0"/>
                                  <w:divBdr>
                                    <w:top w:val="none" w:sz="0" w:space="0" w:color="auto"/>
                                    <w:left w:val="none" w:sz="0" w:space="0" w:color="auto"/>
                                    <w:bottom w:val="none" w:sz="0" w:space="0" w:color="auto"/>
                                    <w:right w:val="none" w:sz="0" w:space="0" w:color="auto"/>
                                  </w:divBdr>
                                </w:div>
                                <w:div w:id="805241943">
                                  <w:marLeft w:val="3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194374">
      <w:bodyDiv w:val="1"/>
      <w:marLeft w:val="0"/>
      <w:marRight w:val="0"/>
      <w:marTop w:val="0"/>
      <w:marBottom w:val="0"/>
      <w:divBdr>
        <w:top w:val="none" w:sz="0" w:space="0" w:color="auto"/>
        <w:left w:val="none" w:sz="0" w:space="0" w:color="auto"/>
        <w:bottom w:val="none" w:sz="0" w:space="0" w:color="auto"/>
        <w:right w:val="none" w:sz="0" w:space="0" w:color="auto"/>
      </w:divBdr>
      <w:divsChild>
        <w:div w:id="1958175931">
          <w:marLeft w:val="0"/>
          <w:marRight w:val="0"/>
          <w:marTop w:val="0"/>
          <w:marBottom w:val="0"/>
          <w:divBdr>
            <w:top w:val="single" w:sz="2" w:space="0" w:color="333333"/>
            <w:left w:val="none" w:sz="0" w:space="0" w:color="auto"/>
            <w:bottom w:val="none" w:sz="0" w:space="0" w:color="auto"/>
            <w:right w:val="none" w:sz="0" w:space="0" w:color="auto"/>
          </w:divBdr>
          <w:divsChild>
            <w:div w:id="1276207898">
              <w:marLeft w:val="0"/>
              <w:marRight w:val="0"/>
              <w:marTop w:val="0"/>
              <w:marBottom w:val="0"/>
              <w:divBdr>
                <w:top w:val="none" w:sz="0" w:space="0" w:color="auto"/>
                <w:left w:val="none" w:sz="0" w:space="0" w:color="auto"/>
                <w:bottom w:val="single" w:sz="2" w:space="0" w:color="333333"/>
                <w:right w:val="none" w:sz="0" w:space="0" w:color="auto"/>
              </w:divBdr>
              <w:divsChild>
                <w:div w:id="142351894">
                  <w:marLeft w:val="0"/>
                  <w:marRight w:val="0"/>
                  <w:marTop w:val="0"/>
                  <w:marBottom w:val="0"/>
                  <w:divBdr>
                    <w:top w:val="none" w:sz="0" w:space="0" w:color="auto"/>
                    <w:left w:val="none" w:sz="0" w:space="0" w:color="auto"/>
                    <w:bottom w:val="none" w:sz="0" w:space="0" w:color="auto"/>
                    <w:right w:val="none" w:sz="0" w:space="0" w:color="auto"/>
                  </w:divBdr>
                  <w:divsChild>
                    <w:div w:id="1833908485">
                      <w:marLeft w:val="0"/>
                      <w:marRight w:val="0"/>
                      <w:marTop w:val="0"/>
                      <w:marBottom w:val="0"/>
                      <w:divBdr>
                        <w:top w:val="none" w:sz="0" w:space="0" w:color="auto"/>
                        <w:left w:val="none" w:sz="0" w:space="0" w:color="auto"/>
                        <w:bottom w:val="none" w:sz="0" w:space="0" w:color="auto"/>
                        <w:right w:val="none" w:sz="0" w:space="0" w:color="auto"/>
                      </w:divBdr>
                      <w:divsChild>
                        <w:div w:id="1947930601">
                          <w:marLeft w:val="0"/>
                          <w:marRight w:val="0"/>
                          <w:marTop w:val="0"/>
                          <w:marBottom w:val="0"/>
                          <w:divBdr>
                            <w:top w:val="none" w:sz="0" w:space="0" w:color="auto"/>
                            <w:left w:val="none" w:sz="0" w:space="0" w:color="auto"/>
                            <w:bottom w:val="none" w:sz="0" w:space="0" w:color="auto"/>
                            <w:right w:val="none" w:sz="0" w:space="0" w:color="auto"/>
                          </w:divBdr>
                          <w:divsChild>
                            <w:div w:id="89885872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05204">
      <w:bodyDiv w:val="1"/>
      <w:marLeft w:val="0"/>
      <w:marRight w:val="0"/>
      <w:marTop w:val="0"/>
      <w:marBottom w:val="0"/>
      <w:divBdr>
        <w:top w:val="none" w:sz="0" w:space="0" w:color="auto"/>
        <w:left w:val="none" w:sz="0" w:space="0" w:color="auto"/>
        <w:bottom w:val="none" w:sz="0" w:space="0" w:color="auto"/>
        <w:right w:val="none" w:sz="0" w:space="0" w:color="auto"/>
      </w:divBdr>
      <w:divsChild>
        <w:div w:id="2079134241">
          <w:marLeft w:val="0"/>
          <w:marRight w:val="0"/>
          <w:marTop w:val="0"/>
          <w:marBottom w:val="0"/>
          <w:divBdr>
            <w:top w:val="none" w:sz="0" w:space="0" w:color="auto"/>
            <w:left w:val="none" w:sz="0" w:space="0" w:color="auto"/>
            <w:bottom w:val="none" w:sz="0" w:space="0" w:color="auto"/>
            <w:right w:val="none" w:sz="0" w:space="0" w:color="auto"/>
          </w:divBdr>
          <w:divsChild>
            <w:div w:id="874121487">
              <w:marLeft w:val="-113"/>
              <w:marRight w:val="-113"/>
              <w:marTop w:val="0"/>
              <w:marBottom w:val="0"/>
              <w:divBdr>
                <w:top w:val="none" w:sz="0" w:space="0" w:color="auto"/>
                <w:left w:val="none" w:sz="0" w:space="0" w:color="auto"/>
                <w:bottom w:val="none" w:sz="0" w:space="0" w:color="auto"/>
                <w:right w:val="none" w:sz="0" w:space="0" w:color="auto"/>
              </w:divBdr>
              <w:divsChild>
                <w:div w:id="1325015521">
                  <w:marLeft w:val="0"/>
                  <w:marRight w:val="0"/>
                  <w:marTop w:val="0"/>
                  <w:marBottom w:val="0"/>
                  <w:divBdr>
                    <w:top w:val="none" w:sz="0" w:space="0" w:color="auto"/>
                    <w:left w:val="none" w:sz="0" w:space="0" w:color="auto"/>
                    <w:bottom w:val="none" w:sz="0" w:space="0" w:color="auto"/>
                    <w:right w:val="none" w:sz="0" w:space="0" w:color="auto"/>
                  </w:divBdr>
                  <w:divsChild>
                    <w:div w:id="1946115504">
                      <w:marLeft w:val="0"/>
                      <w:marRight w:val="0"/>
                      <w:marTop w:val="0"/>
                      <w:marBottom w:val="0"/>
                      <w:divBdr>
                        <w:top w:val="none" w:sz="0" w:space="0" w:color="auto"/>
                        <w:left w:val="none" w:sz="0" w:space="0" w:color="auto"/>
                        <w:bottom w:val="none" w:sz="0" w:space="0" w:color="auto"/>
                        <w:right w:val="none" w:sz="0" w:space="0" w:color="auto"/>
                      </w:divBdr>
                      <w:divsChild>
                        <w:div w:id="1056902351">
                          <w:marLeft w:val="0"/>
                          <w:marRight w:val="0"/>
                          <w:marTop w:val="188"/>
                          <w:marBottom w:val="188"/>
                          <w:divBdr>
                            <w:top w:val="none" w:sz="0" w:space="0" w:color="auto"/>
                            <w:left w:val="none" w:sz="0" w:space="0" w:color="auto"/>
                            <w:bottom w:val="none" w:sz="0" w:space="0" w:color="auto"/>
                            <w:right w:val="none" w:sz="0" w:space="0" w:color="auto"/>
                          </w:divBdr>
                          <w:divsChild>
                            <w:div w:id="1605573201">
                              <w:marLeft w:val="0"/>
                              <w:marRight w:val="0"/>
                              <w:marTop w:val="0"/>
                              <w:marBottom w:val="0"/>
                              <w:divBdr>
                                <w:top w:val="none" w:sz="0" w:space="0" w:color="auto"/>
                                <w:left w:val="none" w:sz="0" w:space="0" w:color="auto"/>
                                <w:bottom w:val="none" w:sz="0" w:space="0" w:color="auto"/>
                                <w:right w:val="none" w:sz="0" w:space="0" w:color="auto"/>
                              </w:divBdr>
                              <w:divsChild>
                                <w:div w:id="689187789">
                                  <w:marLeft w:val="150"/>
                                  <w:marRight w:val="0"/>
                                  <w:marTop w:val="0"/>
                                  <w:marBottom w:val="188"/>
                                  <w:divBdr>
                                    <w:top w:val="none" w:sz="0" w:space="0" w:color="auto"/>
                                    <w:left w:val="none" w:sz="0" w:space="0" w:color="auto"/>
                                    <w:bottom w:val="none" w:sz="0" w:space="0" w:color="auto"/>
                                    <w:right w:val="none" w:sz="0" w:space="0" w:color="auto"/>
                                  </w:divBdr>
                                </w:div>
                              </w:divsChild>
                            </w:div>
                            <w:div w:id="1910573865">
                              <w:marLeft w:val="0"/>
                              <w:marRight w:val="0"/>
                              <w:marTop w:val="0"/>
                              <w:marBottom w:val="0"/>
                              <w:divBdr>
                                <w:top w:val="none" w:sz="0" w:space="0" w:color="auto"/>
                                <w:left w:val="none" w:sz="0" w:space="0" w:color="auto"/>
                                <w:bottom w:val="none" w:sz="0" w:space="0" w:color="auto"/>
                                <w:right w:val="none" w:sz="0" w:space="0" w:color="auto"/>
                              </w:divBdr>
                              <w:divsChild>
                                <w:div w:id="9445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484596">
      <w:bodyDiv w:val="1"/>
      <w:marLeft w:val="0"/>
      <w:marRight w:val="0"/>
      <w:marTop w:val="0"/>
      <w:marBottom w:val="0"/>
      <w:divBdr>
        <w:top w:val="none" w:sz="0" w:space="0" w:color="auto"/>
        <w:left w:val="none" w:sz="0" w:space="0" w:color="auto"/>
        <w:bottom w:val="none" w:sz="0" w:space="0" w:color="auto"/>
        <w:right w:val="none" w:sz="0" w:space="0" w:color="auto"/>
      </w:divBdr>
      <w:divsChild>
        <w:div w:id="1955015186">
          <w:marLeft w:val="0"/>
          <w:marRight w:val="0"/>
          <w:marTop w:val="0"/>
          <w:marBottom w:val="0"/>
          <w:divBdr>
            <w:top w:val="none" w:sz="0" w:space="0" w:color="auto"/>
            <w:left w:val="none" w:sz="0" w:space="0" w:color="auto"/>
            <w:bottom w:val="none" w:sz="0" w:space="0" w:color="auto"/>
            <w:right w:val="none" w:sz="0" w:space="0" w:color="auto"/>
          </w:divBdr>
          <w:divsChild>
            <w:div w:id="1019507883">
              <w:marLeft w:val="0"/>
              <w:marRight w:val="0"/>
              <w:marTop w:val="0"/>
              <w:marBottom w:val="0"/>
              <w:divBdr>
                <w:top w:val="none" w:sz="0" w:space="0" w:color="auto"/>
                <w:left w:val="none" w:sz="0" w:space="0" w:color="auto"/>
                <w:bottom w:val="none" w:sz="0" w:space="0" w:color="auto"/>
                <w:right w:val="none" w:sz="0" w:space="0" w:color="auto"/>
              </w:divBdr>
              <w:divsChild>
                <w:div w:id="1017270279">
                  <w:marLeft w:val="0"/>
                  <w:marRight w:val="0"/>
                  <w:marTop w:val="0"/>
                  <w:marBottom w:val="0"/>
                  <w:divBdr>
                    <w:top w:val="none" w:sz="0" w:space="0" w:color="auto"/>
                    <w:left w:val="none" w:sz="0" w:space="0" w:color="auto"/>
                    <w:bottom w:val="none" w:sz="0" w:space="0" w:color="auto"/>
                    <w:right w:val="none" w:sz="0" w:space="0" w:color="auto"/>
                  </w:divBdr>
                  <w:divsChild>
                    <w:div w:id="1975256112">
                      <w:marLeft w:val="0"/>
                      <w:marRight w:val="0"/>
                      <w:marTop w:val="0"/>
                      <w:marBottom w:val="0"/>
                      <w:divBdr>
                        <w:top w:val="none" w:sz="0" w:space="0" w:color="auto"/>
                        <w:left w:val="none" w:sz="0" w:space="0" w:color="auto"/>
                        <w:bottom w:val="none" w:sz="0" w:space="0" w:color="auto"/>
                        <w:right w:val="none" w:sz="0" w:space="0" w:color="auto"/>
                      </w:divBdr>
                      <w:divsChild>
                        <w:div w:id="308943380">
                          <w:marLeft w:val="0"/>
                          <w:marRight w:val="0"/>
                          <w:marTop w:val="0"/>
                          <w:marBottom w:val="0"/>
                          <w:divBdr>
                            <w:top w:val="none" w:sz="0" w:space="0" w:color="auto"/>
                            <w:left w:val="none" w:sz="0" w:space="0" w:color="auto"/>
                            <w:bottom w:val="none" w:sz="0" w:space="0" w:color="auto"/>
                            <w:right w:val="none" w:sz="0" w:space="0" w:color="auto"/>
                          </w:divBdr>
                          <w:divsChild>
                            <w:div w:id="277568075">
                              <w:marLeft w:val="0"/>
                              <w:marRight w:val="0"/>
                              <w:marTop w:val="0"/>
                              <w:marBottom w:val="0"/>
                              <w:divBdr>
                                <w:top w:val="none" w:sz="0" w:space="0" w:color="auto"/>
                                <w:left w:val="none" w:sz="0" w:space="0" w:color="auto"/>
                                <w:bottom w:val="none" w:sz="0" w:space="0" w:color="auto"/>
                                <w:right w:val="none" w:sz="0" w:space="0" w:color="auto"/>
                              </w:divBdr>
                              <w:divsChild>
                                <w:div w:id="828836188">
                                  <w:marLeft w:val="0"/>
                                  <w:marRight w:val="0"/>
                                  <w:marTop w:val="0"/>
                                  <w:marBottom w:val="0"/>
                                  <w:divBdr>
                                    <w:top w:val="none" w:sz="0" w:space="0" w:color="auto"/>
                                    <w:left w:val="none" w:sz="0" w:space="0" w:color="auto"/>
                                    <w:bottom w:val="none" w:sz="0" w:space="0" w:color="auto"/>
                                    <w:right w:val="none" w:sz="0" w:space="0" w:color="auto"/>
                                  </w:divBdr>
                                  <w:divsChild>
                                    <w:div w:id="3803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kingalpha.com/symbol/AGG" TargetMode="External"/><Relationship Id="rId13" Type="http://schemas.openxmlformats.org/officeDocument/2006/relationships/hyperlink" Target="http://seekingalpha.com/symbol/PFF" TargetMode="External"/><Relationship Id="rId18" Type="http://schemas.openxmlformats.org/officeDocument/2006/relationships/hyperlink" Target="http://seekingalpha.com/symbol/XL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ekingalpha.com/symbol/TFI" TargetMode="External"/><Relationship Id="rId12" Type="http://schemas.openxmlformats.org/officeDocument/2006/relationships/hyperlink" Target="http://seekingalpha.com/symbol/XLV" TargetMode="External"/><Relationship Id="rId17" Type="http://schemas.openxmlformats.org/officeDocument/2006/relationships/hyperlink" Target="http://seekingalpha.com/symbol/XLB" TargetMode="External"/><Relationship Id="rId2" Type="http://schemas.openxmlformats.org/officeDocument/2006/relationships/styles" Target="styles.xml"/><Relationship Id="rId16" Type="http://schemas.openxmlformats.org/officeDocument/2006/relationships/hyperlink" Target="http://seekingalpha.com/symbol/XLE" TargetMode="External"/><Relationship Id="rId20" Type="http://schemas.openxmlformats.org/officeDocument/2006/relationships/hyperlink" Target="http://seekingalpha.com/symbol/JK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ekingalpha.com/symbol/XLP" TargetMode="External"/><Relationship Id="rId5" Type="http://schemas.openxmlformats.org/officeDocument/2006/relationships/hyperlink" Target="http://www.google.com/imgres?um=1&amp;sa=N&amp;biw=1280&amp;bih=641&amp;hl=en&amp;tbm=isch&amp;tbnid=Ec2FpF2RBLzMRM:&amp;imgrefurl=http://www.prepaidmvno.com/2011/06/03/elephant-talk-and-mobile-wallets-the-next-trillion-dollar-revolution-seeking-alpha/&amp;docid=1vOui2Iqg1qYCM&amp;imgurl=http://www.prepaidmvno.com/wp-content/uploads/2011/06/seekingalpha.png&amp;w=300&amp;h=188&amp;ei=WEAKUsSLHrCQyQGVh4DoDg&amp;zoom=1&amp;ved=1t:3588,r:11,s:0,i:121&amp;iact=rc&amp;page=2&amp;tbnh=150&amp;tbnw=240&amp;start=10&amp;ndsp=15&amp;tx=213&amp;ty=115" TargetMode="External"/><Relationship Id="rId15" Type="http://schemas.openxmlformats.org/officeDocument/2006/relationships/hyperlink" Target="http://seekingalpha.com/symbol/VNQ" TargetMode="External"/><Relationship Id="rId10" Type="http://schemas.openxmlformats.org/officeDocument/2006/relationships/hyperlink" Target="http://seekingalpha.com/symbol/SPY" TargetMode="External"/><Relationship Id="rId19" Type="http://schemas.openxmlformats.org/officeDocument/2006/relationships/hyperlink" Target="http://seekingalpha.com/symbol/RZV" TargetMode="External"/><Relationship Id="rId4" Type="http://schemas.openxmlformats.org/officeDocument/2006/relationships/webSettings" Target="webSettings.xml"/><Relationship Id="rId9" Type="http://schemas.openxmlformats.org/officeDocument/2006/relationships/hyperlink" Target="http://seekingalpha.com/symbol/GOVT" TargetMode="External"/><Relationship Id="rId14" Type="http://schemas.openxmlformats.org/officeDocument/2006/relationships/hyperlink" Target="http://seekingalpha.com/symbol/AML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2016-12-16T17:57:00Z</dcterms:created>
  <dcterms:modified xsi:type="dcterms:W3CDTF">2016-12-16T18:02:00Z</dcterms:modified>
</cp:coreProperties>
</file>